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17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  <w:r>
        <w:rPr>
          <w:color w:val="000000" w:themeColor="text1"/>
          <w:sz w:val="24"/>
          <w:szCs w:val="24"/>
          <w:highlight w:val="white"/>
        </w:rPr>
        <w:t>претендующего на присвоение квалификационной категории «педагог-методист»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ФИО аттестуемого ____________________________________________________________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Должность аттестуемого________________________________________________________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Квалификационная категория, на которую претендует аттестуемый – «педагог-методист».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394"/>
        <w:gridCol w:w="1531"/>
      </w:tblGrid>
      <w:tr w:rsidR="00BE2BBE">
        <w:tc>
          <w:tcPr>
            <w:tcW w:w="368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439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Квалификационная категория «педагог-методист» (необходимый минимум)</w:t>
            </w:r>
          </w:p>
        </w:tc>
        <w:tc>
          <w:tcPr>
            <w:tcW w:w="1531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rPr>
          <w:trHeight w:val="667"/>
        </w:trPr>
        <w:tc>
          <w:tcPr>
            <w:tcW w:w="368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4394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18</w:t>
            </w:r>
          </w:p>
        </w:tc>
        <w:tc>
          <w:tcPr>
            <w:tcW w:w="1531" w:type="dxa"/>
            <w:shd w:val="clear" w:color="FFFFFF" w:fill="FFFFFF"/>
          </w:tcPr>
          <w:p w:rsidR="00BE2BBE" w:rsidRDefault="00BE2BBE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_________________________________________________________________</w:t>
      </w:r>
      <w:r w:rsidR="00E91221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>ФИО аттестуемого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квалификационной категории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>«педагог-методист».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показателям, определённым для квалификационной категории, даётся мотивированное обоснование установленного несоответствия.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lastRenderedPageBreak/>
        <w:t xml:space="preserve">Результаты всестороннего анализа профессиональной деятельности </w:t>
      </w:r>
    </w:p>
    <w:p w:rsidR="00BE2BBE" w:rsidRDefault="00BE2BBE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Style w:val="afd"/>
        <w:tblW w:w="9682" w:type="dxa"/>
        <w:tblLayout w:type="fixed"/>
        <w:tblLook w:val="04A0" w:firstRow="1" w:lastRow="0" w:firstColumn="1" w:lastColumn="0" w:noHBand="0" w:noVBand="1"/>
      </w:tblPr>
      <w:tblGrid>
        <w:gridCol w:w="609"/>
        <w:gridCol w:w="3752"/>
        <w:gridCol w:w="1907"/>
        <w:gridCol w:w="928"/>
        <w:gridCol w:w="992"/>
        <w:gridCol w:w="1494"/>
      </w:tblGrid>
      <w:tr w:rsidR="00BE2BBE">
        <w:tc>
          <w:tcPr>
            <w:tcW w:w="609" w:type="dxa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Style w:val="512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752" w:type="dxa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494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c>
          <w:tcPr>
            <w:tcW w:w="9682" w:type="dxa"/>
            <w:gridSpan w:val="6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c>
          <w:tcPr>
            <w:tcW w:w="609" w:type="dxa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-10" w:right="132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jc w:val="both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color w:val="000000" w:themeColor="text1"/>
                <w:highlight w:val="white"/>
              </w:rPr>
              <w:t xml:space="preserve">2 </w:t>
            </w: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полной мере;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jc w:val="both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 профилю профессиональной деятельности в какой-то степени;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38" w:right="133"/>
              <w:jc w:val="both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tabs>
                <w:tab w:val="left" w:pos="580"/>
                <w:tab w:val="left" w:pos="2816"/>
              </w:tabs>
              <w:jc w:val="right"/>
              <w:rPr>
                <w:i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color w:val="000000" w:themeColor="text1"/>
                <w:highlight w:val="white"/>
              </w:rPr>
              <w:t>2/1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82" w:type="dxa"/>
            <w:gridSpan w:val="6"/>
            <w:shd w:val="clear" w:color="FFFFFF" w:fill="FFFFFF"/>
          </w:tcPr>
          <w:p w:rsidR="00BE2BBE" w:rsidRDefault="00FE5EDF">
            <w:pPr>
              <w:pStyle w:val="ConsPlusNormal"/>
              <w:jc w:val="center"/>
              <w:rPr>
                <w:rFonts w:eastAsia="Arial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>Раздел 1. 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</w:t>
            </w: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1.1.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/региональном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1 - на уровне ОО;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1.2.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Наличие лучших практик работы методического объединения по ключевым направлениям развития содержания образования. </w:t>
            </w: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Представление результатов работы методического объединения по ключевым направлениям развития содержания образования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Представление практик: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/региональном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1 - на уровне ОО;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1.3.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Реализация методическим объединением проектов, направленных на повышение качества образования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обучающихся по направлениям деятельности методического объединения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положительной динамики;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стабильный результат;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отсутствие результатов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70"/>
        </w:trPr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1.4.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Выступления/мастер-классы на заседаниях методических объединениях, педагогических, методических советах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/региональном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1 - на уровне ОО;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11/6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82" w:type="dxa"/>
            <w:gridSpan w:val="6"/>
            <w:shd w:val="clear" w:color="FFFFFF" w:fill="FFFFFF"/>
          </w:tcPr>
          <w:p w:rsidR="00BE2BBE" w:rsidRDefault="00FE5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>Раздел 2. Руководство разработкой программно-методического сопровождения образовательного процесса, в т.ч. методического сопровождения реализации инновационных образовательных программ и проектов в образовательной организации</w:t>
            </w: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2.1.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Разработка методических рекомендаций, авторских программ, диагностического инструментария, обеспечивающих развивающий характер и сопровождение инновационного образовательного процесса и проектов в образовательной организации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 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1 – инициативы носят фрагментарный характер; 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  <w:p w:rsidR="00BE2BBE" w:rsidRDefault="00BE2BBE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82" w:type="dxa"/>
            <w:gridSpan w:val="6"/>
            <w:shd w:val="clear" w:color="FFFFFF" w:fill="FFFFFF"/>
          </w:tcPr>
          <w:p w:rsidR="00BE2BBE" w:rsidRDefault="00FE5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>Раздел 3. Методическая поддержка педагогических работников образовательной организации при подготовке к участию в профессиональных конкурсах</w:t>
            </w: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3.1.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Содействие в подготовке педагогических работников к участию </w:t>
            </w: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в конкурсах профессионального мастерства</w:t>
            </w:r>
            <w:bookmarkStart w:id="0" w:name="_GoBack"/>
            <w:bookmarkEnd w:id="0"/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инициативы носят системный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3.2.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Участие педагогических работников методического объединения в конкурсах профессионального мастерства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рост количества участников;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стабильное количество участников;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отсутствие участников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4/2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82" w:type="dxa"/>
            <w:gridSpan w:val="6"/>
            <w:shd w:val="clear" w:color="FFFFFF" w:fill="FFFFFF"/>
          </w:tcPr>
          <w:p w:rsidR="00BE2BBE" w:rsidRDefault="00FE5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>Раздел 4. Участие в методической поддержке (сопровождении) педагогических работников образовательной организации, направленной на их профессиональное развитие, преодоление профессиональных дефицитов</w:t>
            </w:r>
          </w:p>
        </w:tc>
      </w:tr>
      <w:tr w:rsidR="00BE2BBE">
        <w:trPr>
          <w:trHeight w:val="1424"/>
        </w:trPr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4.1.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 xml:space="preserve">Организация работы по выявлению, анализу и устранению профессиональных дефицитов педагогических работников методического объединения. 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инициативы носят системный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0 – инициативы отсутствуют 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4.2.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i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Организация работы по снижению уровня и ликвидации профессиональных дефицитов педагогических работников (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анализа, содержащего характеристику конкретных показателей, плановых значений и динамику изменений значений показателей профессиональных дефицитов («дорожную карту»))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инициативы носят системный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4.3.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i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Реализация индивидуальных образовательных маршрутов педагогических работников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наличие ИОМ, положительная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динамика реализации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наличие ИОМ, фрагментарный характер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реализации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0 – отсутствие 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4.4.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i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Планирование и обеспечение повышения квалификации педагогических работников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инициативы носят системный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носят фрагментарный характер;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8/4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9682" w:type="dxa"/>
            <w:gridSpan w:val="6"/>
            <w:shd w:val="clear" w:color="FFFFFF" w:fill="FFFFFF"/>
          </w:tcPr>
          <w:p w:rsidR="00BE2BBE" w:rsidRDefault="00FE5EDF" w:rsidP="00ED21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>Раздел 5. Передача опыта по применению в образовательной организации авторских учебных и (или) учебно-методических разработок</w:t>
            </w: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5.1.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 xml:space="preserve">Наличие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авторских учебных и (или) учебно-методических разработок 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наличие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учебных и (или) учебно-методических разработок, степень участия – автор/соавтор;</w:t>
            </w:r>
          </w:p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наличие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учебных и (или) учебно-методических разработок, степень участия – составитель;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0 – отсутствие 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5.2.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Внедрение авторских учебных и (или) учебно-методических разработок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1 –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ОО, иных организаций и учреждений, использующих разработки методического объединения;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0 – отсутствие ОО, использующих разработки методического объединения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609" w:type="dxa"/>
            <w:vMerge w:val="restart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bookmarkStart w:id="1" w:name="undefine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5.3.</w:t>
            </w:r>
          </w:p>
        </w:tc>
        <w:tc>
          <w:tcPr>
            <w:tcW w:w="3752" w:type="dxa"/>
            <w:vMerge w:val="restart"/>
          </w:tcPr>
          <w:p w:rsidR="00BE2BBE" w:rsidRDefault="00FE5EDF">
            <w:pPr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Транслирование опыта по применению авторских учебных и (или) учебно-методических разработок</w:t>
            </w:r>
          </w:p>
          <w:p w:rsidR="00BE2BBE" w:rsidRDefault="00BE2BBE">
            <w:pPr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>
            <w:pPr>
              <w:rPr>
                <w:iCs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907" w:type="dxa"/>
            <w:vMerge w:val="restart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</w:t>
            </w:r>
          </w:p>
        </w:tc>
        <w:tc>
          <w:tcPr>
            <w:tcW w:w="1920" w:type="dxa"/>
            <w:gridSpan w:val="2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Формат</w:t>
            </w:r>
          </w:p>
        </w:tc>
        <w:tc>
          <w:tcPr>
            <w:tcW w:w="1494" w:type="dxa"/>
            <w:vMerge w:val="restart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7"/>
        </w:trPr>
        <w:tc>
          <w:tcPr>
            <w:tcW w:w="609" w:type="dxa"/>
            <w:vMerge/>
          </w:tcPr>
          <w:p w:rsidR="00BE2BBE" w:rsidRDefault="00BE2BBE">
            <w:pPr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3752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vMerge/>
            <w:shd w:val="clear" w:color="FFFFFF" w:fill="FFFFFF"/>
          </w:tcPr>
          <w:p w:rsidR="00BE2BBE" w:rsidRDefault="00BE2BBE">
            <w:pPr>
              <w:pStyle w:val="29"/>
              <w:shd w:val="clear" w:color="auto" w:fill="auto"/>
              <w:ind w:right="140"/>
              <w:jc w:val="center"/>
            </w:pPr>
          </w:p>
        </w:tc>
        <w:tc>
          <w:tcPr>
            <w:tcW w:w="928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27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очный</w:t>
            </w:r>
          </w:p>
        </w:tc>
        <w:tc>
          <w:tcPr>
            <w:tcW w:w="992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-103" w:right="-48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заочный</w:t>
            </w:r>
          </w:p>
        </w:tc>
        <w:tc>
          <w:tcPr>
            <w:tcW w:w="1494" w:type="dxa"/>
            <w:vMerge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473"/>
        </w:trPr>
        <w:tc>
          <w:tcPr>
            <w:tcW w:w="609" w:type="dxa"/>
            <w:vMerge/>
          </w:tcPr>
          <w:p w:rsidR="00BE2BBE" w:rsidRDefault="00BE2BBE">
            <w:pPr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3752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i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Федеральный </w:t>
            </w:r>
          </w:p>
        </w:tc>
        <w:tc>
          <w:tcPr>
            <w:tcW w:w="928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</w:p>
        </w:tc>
        <w:tc>
          <w:tcPr>
            <w:tcW w:w="992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</w:t>
            </w:r>
          </w:p>
        </w:tc>
        <w:tc>
          <w:tcPr>
            <w:tcW w:w="1494" w:type="dxa"/>
            <w:vMerge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423"/>
        </w:trPr>
        <w:tc>
          <w:tcPr>
            <w:tcW w:w="609" w:type="dxa"/>
            <w:vMerge/>
          </w:tcPr>
          <w:p w:rsidR="00BE2BBE" w:rsidRDefault="00BE2BBE">
            <w:pPr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3752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left"/>
              <w:rPr>
                <w:i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Региональный</w:t>
            </w:r>
          </w:p>
        </w:tc>
        <w:tc>
          <w:tcPr>
            <w:tcW w:w="928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</w:t>
            </w:r>
          </w:p>
        </w:tc>
        <w:tc>
          <w:tcPr>
            <w:tcW w:w="992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</w:p>
        </w:tc>
        <w:tc>
          <w:tcPr>
            <w:tcW w:w="1494" w:type="dxa"/>
            <w:vMerge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416"/>
        </w:trPr>
        <w:tc>
          <w:tcPr>
            <w:tcW w:w="609" w:type="dxa"/>
            <w:vMerge/>
          </w:tcPr>
          <w:p w:rsidR="00BE2BBE" w:rsidRDefault="00BE2BBE">
            <w:pPr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3752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Муниципальный</w:t>
            </w:r>
          </w:p>
        </w:tc>
        <w:tc>
          <w:tcPr>
            <w:tcW w:w="928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</w:p>
        </w:tc>
        <w:tc>
          <w:tcPr>
            <w:tcW w:w="992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</w:p>
        </w:tc>
        <w:tc>
          <w:tcPr>
            <w:tcW w:w="1494" w:type="dxa"/>
            <w:vMerge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rPr>
          <w:trHeight w:val="408"/>
        </w:trPr>
        <w:tc>
          <w:tcPr>
            <w:tcW w:w="609" w:type="dxa"/>
            <w:vMerge/>
          </w:tcPr>
          <w:p w:rsidR="00BE2BBE" w:rsidRDefault="00BE2BBE">
            <w:pPr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3752" w:type="dxa"/>
            <w:vMerge/>
          </w:tcPr>
          <w:p w:rsidR="00BE2BBE" w:rsidRDefault="00BE2BBE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 ОО</w:t>
            </w:r>
          </w:p>
        </w:tc>
        <w:tc>
          <w:tcPr>
            <w:tcW w:w="928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</w:p>
        </w:tc>
        <w:tc>
          <w:tcPr>
            <w:tcW w:w="992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</w:p>
        </w:tc>
        <w:tc>
          <w:tcPr>
            <w:tcW w:w="1494" w:type="dxa"/>
            <w:vMerge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</w:tr>
      <w:tr w:rsidR="00BE2BBE">
        <w:tc>
          <w:tcPr>
            <w:tcW w:w="609" w:type="dxa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5.4.</w:t>
            </w:r>
          </w:p>
        </w:tc>
        <w:tc>
          <w:tcPr>
            <w:tcW w:w="3752" w:type="dxa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Cs/>
                <w:color w:val="000000" w:themeColor="text1"/>
                <w:sz w:val="24"/>
                <w:szCs w:val="24"/>
                <w:highlight w:val="white"/>
              </w:rPr>
              <w:t>Участие в работе муниципальных и региональных инновационных площадок, стажировочных площадок, проектно-исследовательских лабораторий в сфере образования Ханты-Мансийского автономного округа – Югры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участие;</w:t>
            </w:r>
          </w:p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отсутствие участия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</w:tcPr>
          <w:p w:rsidR="00BE2BBE" w:rsidRDefault="00FE5EDF">
            <w:pPr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9/4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c>
          <w:tcPr>
            <w:tcW w:w="609" w:type="dxa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752" w:type="dxa"/>
            <w:shd w:val="clear" w:color="FFFFFF" w:fill="FFFFFF"/>
          </w:tcPr>
          <w:p w:rsidR="00BE2BBE" w:rsidRDefault="00FE5EDF">
            <w:pPr>
              <w:ind w:left="-47" w:right="-76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Общее количество баллов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):</w:t>
            </w:r>
          </w:p>
        </w:tc>
        <w:tc>
          <w:tcPr>
            <w:tcW w:w="3827" w:type="dxa"/>
            <w:gridSpan w:val="3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36/18</w:t>
            </w:r>
          </w:p>
        </w:tc>
        <w:tc>
          <w:tcPr>
            <w:tcW w:w="1494" w:type="dxa"/>
            <w:shd w:val="clear" w:color="FFFFFF" w:fill="FFFFFF"/>
          </w:tcPr>
          <w:p w:rsidR="00BE2BBE" w:rsidRDefault="00BE2BBE" w:rsidP="00ED21C8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ab/>
      </w: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FE5EDF">
      <w:pPr>
        <w:tabs>
          <w:tab w:val="left" w:pos="225"/>
          <w:tab w:val="right" w:pos="9355"/>
        </w:tabs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ab/>
        <w:t xml:space="preserve">       </w:t>
      </w:r>
    </w:p>
    <w:p w:rsidR="00BE2BBE" w:rsidRDefault="00FE5EDF">
      <w:pPr>
        <w:jc w:val="right"/>
        <w:rPr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Дата/подпись/ФИО эксперта/</w:t>
      </w:r>
    </w:p>
    <w:bookmarkEnd w:id="1"/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A661AC"/>
    <w:rsid w:val="00BE2BBE"/>
    <w:rsid w:val="00C76F85"/>
    <w:rsid w:val="00E91221"/>
    <w:rsid w:val="00ED21C8"/>
    <w:rsid w:val="00EE3957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E286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2798E-6D3D-4C0A-ADB4-CA173C362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2026-05-28T08:11:00Z</dcterms:modified>
</cp:coreProperties>
</file>