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Приложение 1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к Приказу Департамента образования и науки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Ханты-Мансийского автономного округа - Югры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Cs w:val="24"/>
        </w:rPr>
      </w:pPr>
      <w:r>
        <w:rPr>
          <w:sz w:val="20"/>
          <w:szCs w:val="20"/>
        </w:rPr>
        <w:t xml:space="preserve">от ___________ №___________</w:t>
      </w:r>
      <w:r>
        <w:rPr>
          <w:szCs w:val="24"/>
        </w:rPr>
      </w:r>
      <w:r>
        <w:rPr>
          <w:szCs w:val="24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tbl>
      <w:tblPr>
        <w:tblW w:w="9660" w:type="dxa"/>
        <w:tblLook w:val="04A0" w:firstRow="1" w:lastRow="0" w:firstColumn="1" w:lastColumn="0" w:noHBand="0" w:noVBand="1"/>
      </w:tblPr>
      <w:tblGrid>
        <w:gridCol w:w="1116"/>
        <w:gridCol w:w="6255"/>
        <w:gridCol w:w="2276"/>
        <w:gridCol w:w="13"/>
      </w:tblGrid>
      <w:tr>
        <w:trPr>
          <w:trHeight w:val="1005"/>
        </w:trPr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0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Мониторинг степени сформированности и эффективности функционирования систем управления качеством образовательной деятельности по показателю «Система организации воспитания обучающихся»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6" w:type="dxa"/>
            <w:vAlign w:val="bottom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55" w:type="dxa"/>
            <w:vAlign w:val="bottom"/>
            <w:textDirection w:val="lrTb"/>
            <w:noWrap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76" w:type="dxa"/>
            <w:vAlign w:val="center"/>
            <w:textDirection w:val="lrTb"/>
            <w:noWrap/>
          </w:tcPr>
          <w:p>
            <w:r/>
            <w:r/>
          </w:p>
        </w:tc>
      </w:tr>
      <w:tr>
        <w:trPr>
          <w:trHeight w:val="300"/>
        </w:trPr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0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Муниципальный орган управления образованием _____________________________________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00"/>
        </w:trPr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0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Ф.И.О. ответственного за предоставление информации________________________________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00"/>
        </w:trPr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0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Контактный номер </w:t>
            </w:r>
            <w:r>
              <w:rPr>
                <w:color w:val="000000"/>
                <w:sz w:val="22"/>
                <w:szCs w:val="22"/>
              </w:rPr>
              <w:t xml:space="preserve">телефона:_</w:t>
            </w:r>
            <w:r>
              <w:rPr>
                <w:color w:val="000000"/>
                <w:sz w:val="22"/>
                <w:szCs w:val="22"/>
              </w:rPr>
              <w:t xml:space="preserve">_________________________________________________________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6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55" w:type="dxa"/>
            <w:textDirection w:val="lrTb"/>
            <w:noWrap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76" w:type="dxa"/>
            <w:vAlign w:val="center"/>
            <w:textDirection w:val="lrTb"/>
            <w:noWrap/>
          </w:tcPr>
          <w:p>
            <w:r/>
            <w:r/>
          </w:p>
        </w:tc>
      </w:tr>
      <w:tr>
        <w:trPr>
          <w:gridAfter w:val="1"/>
          <w:trHeight w:val="300"/>
        </w:trPr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/>
          </w:tcPr>
          <w:p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Внимание: выделенные строки заполняются автоматически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6" w:type="dxa"/>
            <w:vAlign w:val="bottom"/>
            <w:textDirection w:val="lrTb"/>
            <w:noWrap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55" w:type="dxa"/>
            <w:vAlign w:val="bottom"/>
            <w:textDirection w:val="lrTb"/>
            <w:noWrap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76" w:type="dxa"/>
            <w:vAlign w:val="center"/>
            <w:textDirection w:val="lrTb"/>
            <w:noWrap/>
          </w:tcPr>
          <w:p>
            <w:r/>
            <w:r/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116" w:type="dxa"/>
            <w:textDirection w:val="lrTb"/>
            <w:noWrap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п/п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6255" w:type="dxa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bottom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Общие сведения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подведомственных общеобразовательных организаций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ind w:right="146"/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обучающихся,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начальное общее образование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основное общее образование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среднее общее образование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общеобразовательных организаций, имеющих интернат для проживания иногородних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проживающих в интернате для проживания иногородних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в трудной жизненной ситуации (с учетом требований статьи 1 Федерального закона "Об основных гарантиях прав ребенка в Российской Федерации" от 24 июля 1998 г. № 124-ФЗ), следующих отдельных категорий: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не заполняется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дети-сироты и дети, оставшиеся без попечения родителей (подтверждено документом органа опеки)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 — жертвы вооружённых и межнациональных конфликтов, экологических и техногенных катастроф, стихийных бедствий (подтверждено документом территориальных органов УМВД, МЧС)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беженцев и вынужденных переселенцев (в соответствии с Федеральным законом от 19.02.1993 № 4528-</w:t>
            </w:r>
            <w:r>
              <w:t xml:space="preserve">1  "</w:t>
            </w:r>
            <w:r>
              <w:t xml:space="preserve">О беженцах")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- жертвы насилия (в отношении которых совершены преступления против личности, в том числе против половой неприкосновенности)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дети, ранее отбывавшие наказание в виде лишения свободы в воспитательных колониях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дети, ранее об</w:t>
            </w:r>
            <w:r>
              <w:t xml:space="preserve">учающиеся в образовательных организациях для обучающихся с девиантным поведением, нуждающихся в особых условиях воспитания, обучения и требующих специального педагогического подхода (специальных учебно-воспитательных учреждениях открытого и закрытого типа)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участников (ветеранов) СВО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иностранных граждан и лиц без гражданства (в соответствии с пп.2.1. п.2 ст.78 Федерального закона от 29.12.2012 № 273-ФЗ)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мигрантов (при наличии документов</w:t>
            </w:r>
            <w:r>
              <w:t xml:space="preserve">,</w:t>
            </w:r>
            <w:r>
              <w:t xml:space="preserve"> подтверждающих вид на жительство, разрешение на временное проживание, прибывших по визе)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дети, прибывшие с территорий субъектов Российской Федерац</w:t>
            </w:r>
            <w:r>
              <w:t xml:space="preserve">ии, прилегающих к районам проведения специальной военной операции (Распоряжение Правительства Российской Федерации от 11 августа 2025 г. № 2148-р Об утверждении перечня территорий субъектов РФ, прилегающих к районам проведения специальной военной операции)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оценке сформированности ценностных ориентаций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вовлеченных в деятельность детских и молодежных общественных объединений, действующих на территории муниципального образования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подростковых, молодежных клубов по месту жительства, действующих на территории муниципального образования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вовлеченных в деятельность подростковых, молодежных клубов по месту жительства, действующих на территории муниципального образования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программ и проектов, реализуемых общеобразовательными организациями по приоритетным направлениям воспитания и социализации обучающихся (за предшествующие 6 месяцев),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общеобразовательными организациями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являющихся участниками программ и проектов по приоритетным направлениям воспитания и социализации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проектов и программ по приоритетным направлениям воспитания и социализации обучающихся с участием детей с ОВЗ и детьми-инвалидами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 и детей-инвалидов, являющихся участниками программ и проектов по приоритетным направлениям воспитания и социализации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включенных в волонтерскую деятельность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занимающихся в организациях дополнительного образования, в объединениях и научных обществах организаций дополнительного образования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программ по просвещению и консультированию родителей по правовым, экономическим, медицинским, психолого-педагогическим и иным вопросам семейного воспитания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клубов по просвещению и консультированию родителей по правовым, экономическим, медицинским, психолого-педагогическим и иным вопросам семейного воспитания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охвачены мероприятиями по просвещению по правовым, экономическим, медицинским, психолого-педагогическим и иным вопросам семейного воспитания, от общего количества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для обучающихся по основам информационной безопасности, безопасности в информационно-телекоммуникационной сети «Интернет» и повышению </w:t>
            </w:r>
            <w:r>
              <w:t xml:space="preserve">медиаграмотности</w:t>
            </w:r>
            <w:r>
              <w:t xml:space="preserve">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охваченных мероприятиями, направленными на повышение </w:t>
            </w:r>
            <w:r>
              <w:t xml:space="preserve">медийно</w:t>
            </w:r>
            <w:r>
              <w:t xml:space="preserve">-информационной культуры и обеспечение безопасности в информационно-телекоммуникационной сети «Интернет»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для родителей обучающихся, направленных на повышение </w:t>
            </w:r>
            <w:r>
              <w:t xml:space="preserve">медийно</w:t>
            </w:r>
            <w:r>
              <w:t xml:space="preserve">-информационной культуры обучающихся и обеспечение безопасности в информационно-телекоммуникационной сети «Интернет»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охваченных мероприятиями, направленными на повышение </w:t>
            </w:r>
            <w:r>
              <w:t xml:space="preserve">медийно</w:t>
            </w:r>
            <w:r>
              <w:t xml:space="preserve">-информационной культуры и обеспечение безопасности обучающихся в информационно-телекоммуникационной сети «Интернет», от общего количества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общеобразовательных организаций, имеющих орган самоуправления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общеобразовательных организаций, имеющих пресс-службы, медиа-студии, медиа холдинга и далее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общеобразовательных организаций, имеющих службу школьной медиации (примирения)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общеобразовательных организаций, имеющих психологическую службу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общеобразовательных организаций, имеющих театр, театральну</w:t>
            </w:r>
            <w:r>
              <w:t xml:space="preserve">ю</w:t>
            </w:r>
            <w:r>
              <w:t xml:space="preserve"> студию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общеобразовательных организаций, имеющих музей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общественных объединений родителей обучающихся, действующих на территории муниципального образования, в деятельности которых участвуют родители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общеобразовательных организаций, имеющих советы родителей (законных представителей) обучающихся или иных органов общественного управления с участием родителей обучающихся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включены в деятельность общественных объединений родителе</w:t>
            </w:r>
            <w:r>
              <w:t xml:space="preserve">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общеобразовательной организации, от общего количества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Профилактика деструктивного поведения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признанных находящимися в социально опасном положении (далее - СОП) н</w:t>
            </w:r>
            <w:r>
              <w:t xml:space="preserve">а основании постановления муниципальной комиссии по делам несовершеннолетних и защите их прав (пункт 1 статьи 5 Федерального закона № 120-ФЗ "Об основах системы профилактики безнадзорности и правонарушений несовершеннолетних")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семей, признанных находящимися в социально опасном положении н</w:t>
            </w:r>
            <w:r>
              <w:t xml:space="preserve">а основании постановления муниципальной комиссии по делам несовершеннолетних и защите их прав (пункт 2 статьи 5 Федерального закона № 120-ФЗ "Об основах системы профилактики безнадзорности и правонарушений несовершеннолетних")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несовершеннолетних, не посещающих или систематически пропускающих по неуважительным причинам занятия в общеобразовательных организациях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обучающихся находящихся в различных группах риска по результатам проведения социально-психологического тестирования (далее - СПТ),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в группе риска высочайшей вероятности проявлений рискового (в том числе </w:t>
            </w:r>
            <w:r>
              <w:t xml:space="preserve">аддиктивного</w:t>
            </w:r>
            <w:r>
              <w:t xml:space="preserve">) поведения (по результатам проведения СПТ)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в группе риска высокой вероятности проявлений рискового (в том числе </w:t>
            </w:r>
            <w:r>
              <w:t xml:space="preserve">аддиктивного</w:t>
            </w:r>
            <w:r>
              <w:t xml:space="preserve">) поведения (по результатам проведения СПТ)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совершивших суицидальные попытки (в соответствии с данными учреждений здравоохранения)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Учет обучающихся с деструктивным поведением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и </w:t>
            </w:r>
            <w:r>
              <w:rPr>
                <w:i/>
                <w:iCs/>
              </w:rPr>
              <w:t xml:space="preserve">достигшие ко времени совершения преступления возраста, с которого наступает уголовная ответственность (14 лет, 16 лет)</w:t>
            </w:r>
            <w:r>
              <w:t xml:space="preserve">, в соответствии с Уголовным кодексом Российской Федерации,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44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преступления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138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преступления, </w:t>
            </w:r>
            <w:r>
              <w:rPr>
                <w:i/>
                <w:iCs/>
              </w:rPr>
              <w:t xml:space="preserve">достигшие ко времени совершения преступления возраста, с которого наступает уголовная ответственность (14 лет, 16 лет),</w:t>
            </w:r>
            <w:r>
              <w:t xml:space="preserve"> в соответствии с Уголовным кодексом Российской Федерации, </w:t>
            </w:r>
            <w:r>
              <w:rPr>
                <w:i/>
                <w:iCs/>
              </w:rPr>
              <w:t xml:space="preserve">в период проведения с ними индивидуальной профилактической работы</w:t>
            </w:r>
            <w:r>
              <w:t xml:space="preserve"> (далее – ИПР)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9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70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55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преступления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113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деяния, </w:t>
            </w:r>
            <w:r>
              <w:rPr>
                <w:i/>
                <w:iCs/>
              </w:rPr>
              <w:t xml:space="preserve">не достигшие ко времени совершения преступления возраста, с которого наступает уголовная ответственность (14 лет, 16 лет</w:t>
            </w:r>
            <w:r>
              <w:t xml:space="preserve">), в соответствии с Уголовным кодексом Российской Федерации (согласовывается с территориальным УМВД, </w:t>
            </w:r>
            <w:r>
              <w:t xml:space="preserve">КНиЗП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7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4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общественно опасные деяния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136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деяния, </w:t>
            </w:r>
            <w:r>
              <w:rPr>
                <w:i/>
                <w:iCs/>
              </w:rPr>
              <w:t xml:space="preserve">не достигшие ко времени совершения преступления возраста, с которого наступает уголовная ответственность (14 лет, 16 лет</w:t>
            </w:r>
            <w:r>
              <w:t xml:space="preserve">), в соответствии с Уголовным кодексом Российской Федерации, в период проведения ИПР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81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9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55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общественно опасные деяния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15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достигших ко времени совершения административного правонарушения возраста, с которого наступает административная ответственность (16 лет)</w:t>
            </w:r>
            <w:r>
              <w:t xml:space="preserve">, 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4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88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5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155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достигших ко времени совершения административного правонарушения возраста, с которого наступает административная ответственность (16 лет), </w:t>
            </w:r>
            <w:r>
              <w:t xml:space="preserve">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</w:t>
            </w:r>
            <w:r>
              <w:rPr>
                <w:i/>
                <w:iCs/>
              </w:rPr>
              <w:t xml:space="preserve">в период проведения ИПР</w:t>
            </w:r>
            <w:r>
              <w:t xml:space="preserve">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3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83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75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169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не достигших ко времени совершения административного правонарушения возраста, с которого наступает административная ответственность (16 лет</w:t>
            </w:r>
            <w:r>
              <w:t xml:space="preserve">), 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5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9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8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153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не достигших ко времени совершения административного правонарушения возраста, с которого наступает административная ответственность (16 лет</w:t>
            </w:r>
            <w:r>
              <w:t xml:space="preserve">), в соответствии с Кодексом Российской Федерации об административных правонарушениях (согласовывается с территориальным УМВД), </w:t>
            </w:r>
            <w:r>
              <w:rPr>
                <w:i/>
                <w:iCs/>
              </w:rPr>
              <w:t xml:space="preserve">в период проведения </w:t>
            </w:r>
            <w:r>
              <w:rPr>
                <w:i/>
                <w:iCs/>
              </w:rPr>
              <w:t xml:space="preserve">ИПР</w:t>
            </w:r>
            <w:r>
              <w:t xml:space="preserve">,  из</w:t>
            </w:r>
            <w:r>
              <w:t xml:space="preserve">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111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ОВЗ, совершивших административные правонарушения, общественно опасные деяния, преступления, но </w:t>
            </w:r>
            <w:r>
              <w:rPr>
                <w:i/>
                <w:iCs/>
              </w:rPr>
              <w:t xml:space="preserve">вследствие отставания в психическом развитии, не подлежащих ответственности</w:t>
            </w:r>
            <w:r>
              <w:t xml:space="preserve">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80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4.9.1.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ОВЗ, совершивших административные правонарушения, общественно опасные деяния, преступления, в том числе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42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/>
            <w:bookmarkStart w:id="0" w:name="undefined"/>
            <w:r>
              <w:t xml:space="preserve">Количество несовершеннолетних, совершивших самовольные уходы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bookmarkEnd w:id="0"/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52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состоящих на учете в ПДН УМВД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40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снятых с учета в ПДН УМВД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8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обучающихся, состоящих в общеобразовательных организациях на учете отдельных категорий несовершеннолетних,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17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состоящих на учете отдельных категорий несовершеннолетних (отнесенные к категориям лиц, пре</w:t>
            </w:r>
            <w:r>
              <w:t xml:space="preserve">дусмотренным пунктом 1 статьи 5 Федерального закона № 120-ФЗ "Об основах системы профилактики безнадзорности и правонарушений несовершеннолетних", в отношении которых органы и учреждения системы профилактики проводят индивидуальную профилактическую работу)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167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</w:t>
            </w:r>
            <w:r>
              <w:rPr>
                <w:b/>
                <w:bCs/>
                <w:i/>
                <w:iCs/>
              </w:rPr>
              <w:t xml:space="preserve">поставленных на учет отдельных категорий несовершеннолетних, </w:t>
            </w:r>
            <w:r>
              <w:t xml:space="preserve">с согласия руководителя образовательной организации, нуждающиеся в социально-педагогической реабилитации, оказании иных</w:t>
            </w:r>
            <w:r>
              <w:t xml:space="preserve"> видов помощи, организации с ними работы по предупреждению совершения ими правонарушений  и (или) антиобщественных действий (пункт 3 статьи 5 Федерального закона № 120-ФЗ "Об основах системы профилактики безнадзорности и правонарушений несовершеннолетних")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39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4.14.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обучающихся, в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</w:t>
            </w:r>
            <w:r>
              <w:rPr>
                <w:b/>
                <w:bCs/>
              </w:rPr>
              <w:t xml:space="preserve">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gridAfter w:val="1"/>
          <w:trHeight w:val="64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 в связи с улучшением ситуации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63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 по иным обстоятельствам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Фактическое количество обучающихся, поставленных на профилактические учеты (ПДН УМВД, учет отдельных категорий несовершеннолетних в образовательной организации) </w:t>
            </w:r>
            <w:r>
              <w:rPr>
                <w:i/>
                <w:iCs/>
              </w:rPr>
              <w:t xml:space="preserve">(1 человек, поставленный на несколько учетов, учитывается 1 раз)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выявленных деструктивных аккаунтов обучающихся в социальных сетях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профилактике деструктивного поведения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gridAfter w:val="1"/>
          <w:trHeight w:val="7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реализуемых программ и планов мероприятий по противодействию деструктивным проявлениям в поведении обучающихся, из них: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ед.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gridAfter w:val="1"/>
          <w:trHeight w:val="27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28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общеобразовательными организациями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участвующих в реализации программ и планов мероприятий по противодействию деструктивным проявлениям в поведении обучающихся, от общего количества обучающихся (в рамках первичной профилактики)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gridAfter w:val="1"/>
          <w:trHeight w:val="154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охваченных </w:t>
            </w:r>
            <w:r>
              <w:rPr>
                <w:b/>
                <w:bCs/>
                <w:i/>
                <w:iCs/>
              </w:rPr>
              <w:t xml:space="preserve">индивидуальными профилактическими мероприятиями</w:t>
            </w:r>
            <w:r>
              <w:t xml:space="preserve">, осуществляемыми общеобраз</w:t>
            </w:r>
            <w:r>
              <w:t xml:space="preserve">овательными организациями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 (в рамках вторичной и третичной профилактике)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12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общеобразовательных организаций, имеющих специализированный инструментарий (диагностики, маркеры (критерии, индикаторы для осуществления наблюдения) для выявления деструктивных проявлений в поведении обучающихся, дополнительно к СПТ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87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по проведению информационно-разъяснительной работы с родителями (законными представителями) обучающихся по вопросам профилактики деструктивного поведения (семинары, тренинги, иное)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77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детей, родители которых принимали участие в информационно-разъяснительной работе по вопросам профилактики деструктивного поведения от общего количества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%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55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по повышению компетенций педагогического коллектива по вопросам профилактики деструктивного поведения обучающихся (семинары, тренинги, иное)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99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педагогов, принимавших участие в мероприятиях по повышению компетенций педагогического коллектива по вопросам профилактики деструктивного поведения обучающихся (семинары, тренинги, иное) от общего количества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%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45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реализуемых программ по половому просвещению и воспитанию, из них: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7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общеобразовательными организациями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69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5.10.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мероприятий по половому просвещению и воспитанию для обучающихся и родителей (законных представителей),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gridAfter w:val="1"/>
          <w:trHeight w:val="28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7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педагогов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4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к реализации программ по половому просвещению и воспитанию: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gridAfter w:val="1"/>
          <w:trHeight w:val="52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55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профилактике суицидального поведения у несовершеннолетних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118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проведенных профилактических мероприятий, направленных на формирование у несовершеннолетних позитивного мышления, ценностного отношения к жизни, основ </w:t>
            </w:r>
            <w:r>
              <w:rPr>
                <w:b/>
                <w:bCs/>
              </w:rPr>
              <w:t xml:space="preserve">ассертивного</w:t>
            </w:r>
            <w:r>
              <w:rPr>
                <w:b/>
                <w:bCs/>
              </w:rPr>
              <w:t xml:space="preserve"> и законопослушного поведения (первичный уровень профилактики),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gridAfter w:val="1"/>
          <w:trHeight w:val="21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3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5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93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проведенных проф</w:t>
            </w:r>
            <w:r>
              <w:rPr>
                <w:b/>
                <w:bCs/>
              </w:rPr>
              <w:t xml:space="preserve">илактических мероприятий, направленных на обучение участников образовательных отношений навыкам преодоления тревожных состояний, стресса (в том числе учебного), стабилизации эмоционального состояния и саморегуляции (первичный уровень профилактики),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gridAfter w:val="1"/>
          <w:trHeight w:val="3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6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представителей),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8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105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проведенных профилактических мероприятий с родителями (законными представителями) обучающихся по вопросам формирования эффективных детско-родительских отношений, развитию навыков бесконфликтного общения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12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индивидуальных планов психолого-педагогического сопровождения (далее - ИППС) обучающихся, выявленных в ходе мониторингов, диагностических мероприятий, как нуждающихся в организации психолого-педагогического сопровождения, в том числе: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7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сформированных в рамках вторичной и третичной профилактики </w:t>
            </w:r>
            <w:r>
              <w:t xml:space="preserve">сам</w:t>
            </w:r>
            <w:r>
              <w:t xml:space="preserve">о</w:t>
            </w:r>
            <w:r>
              <w:t xml:space="preserve">повреждающего</w:t>
            </w:r>
            <w:r>
              <w:t xml:space="preserve">, в том числе суицидального поведения несовершеннолетних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81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6.5.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профилактических мероприятий для участников образовательных отношений в рамках вторичной профилактики </w:t>
            </w:r>
            <w:r>
              <w:rPr>
                <w:b/>
                <w:bCs/>
              </w:rPr>
              <w:t xml:space="preserve">аутодеструктивного</w:t>
            </w:r>
            <w:r>
              <w:rPr>
                <w:b/>
                <w:bCs/>
              </w:rPr>
              <w:t xml:space="preserve">, в том числе суицидального поведения несовершеннолетних, из них: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gridAfter w:val="1"/>
          <w:trHeight w:val="1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представителей),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2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61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6.6.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к профилактической работе в рамках вторичного этапа профилактики суицидального поведения несовершеннолетних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6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ИППС, сформированных в рамках третичной профилактики суицидального поведения несовершеннолетних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gridAfter w:val="1"/>
          <w:trHeight w:val="9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6.8.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к профилактической работе в рамках третичного этапа профилактики </w:t>
            </w:r>
            <w:r>
              <w:rPr>
                <w:b/>
                <w:bCs/>
              </w:rPr>
              <w:t xml:space="preserve">аутодеструктивного</w:t>
            </w:r>
            <w:r>
              <w:rPr>
                <w:b/>
                <w:bCs/>
              </w:rPr>
              <w:t xml:space="preserve"> и суицидального поведения несовершеннолетних, из них (при наличии случаев):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правовому просвещению и правовому информированию несовершеннолетних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проведенных мероприятий по правовому просвещению и правовому информированию,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1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67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мероприятий по правовому просвещению и правовому информированию для обучающихся и родителей (законных представителей), в форме: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лекций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бесед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семинаров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вебинаров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игр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соревнований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8.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выявлению случаев </w:t>
            </w:r>
            <w:r>
              <w:rPr>
                <w:b/>
                <w:bCs/>
              </w:rPr>
              <w:t xml:space="preserve">травли</w:t>
            </w:r>
            <w:r>
              <w:rPr>
                <w:b/>
                <w:bCs/>
              </w:rPr>
              <w:t xml:space="preserve"> (за предшествующие </w:t>
            </w:r>
            <w:r>
              <w:rPr>
                <w:b/>
                <w:bCs/>
              </w:rPr>
              <w:br/>
            </w:r>
            <w:bookmarkStart w:id="0" w:name="undefined"/>
            <w:r/>
            <w:bookmarkEnd w:id="0"/>
            <w:r>
              <w:rPr>
                <w:b/>
                <w:bCs/>
              </w:rPr>
              <w:t xml:space="preserve">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разработанных и реализуемых программ и планов по профилактике травли,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муниципального уровня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разработанных общеобразовательными организациями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проведенных профилактических мероприятий, направленных на профилактику травли, формирования коммуникативных навыков, навыков бесконфликтного общения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обращений от участников образовательных отношений в психологические службы общеобразовательных организаций по вопросам, касающимся нарушений межличностных отношений, конфликтов, преследования, травли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gridAfter w:val="1"/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255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мероприятий, проведенных специалистами психологической службы по разрешению вопросов касающихся нарушений межличностных отношений, конфликтов, преследования, травли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-568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к Приказу Департамента образования и науки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Ханты-Мансийского автономного округа - Югры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Cs w:val="24"/>
        </w:rPr>
      </w:pPr>
      <w:r>
        <w:rPr>
          <w:sz w:val="20"/>
          <w:szCs w:val="20"/>
        </w:rPr>
        <w:t xml:space="preserve">от ___________ №___________</w:t>
      </w:r>
      <w:r>
        <w:rPr>
          <w:szCs w:val="24"/>
        </w:rPr>
      </w:r>
      <w:r>
        <w:rPr>
          <w:szCs w:val="24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0"/>
        <w:jc w:val="center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jc w:val="center"/>
        <w:spacing w:after="0" w:line="240" w:lineRule="auto"/>
        <w:rPr>
          <w:b/>
          <w:szCs w:val="24"/>
        </w:rPr>
      </w:pPr>
      <w:r>
        <w:rPr>
          <w:b/>
          <w:szCs w:val="24"/>
        </w:rPr>
        <w:t xml:space="preserve">Мониторинг степени сформированности и эффективности функционирования систем управления качеством образовательной деятельности по показателю «Система организации воспитания обучающихся»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jc w:val="center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1" w:firstLine="0"/>
        <w:spacing w:after="0" w:line="240" w:lineRule="auto"/>
        <w:rPr>
          <w:sz w:val="22"/>
        </w:rPr>
      </w:pPr>
      <w:r>
        <w:rPr>
          <w:sz w:val="22"/>
        </w:rPr>
        <w:t xml:space="preserve">Общеобразовательная организация ______________________________________</w:t>
      </w:r>
      <w:r>
        <w:rPr>
          <w:sz w:val="22"/>
        </w:rPr>
        <w:t xml:space="preserve">_____</w:t>
      </w:r>
      <w:r>
        <w:rPr>
          <w:sz w:val="22"/>
        </w:rPr>
        <w:t xml:space="preserve">_______</w:t>
      </w:r>
      <w:r>
        <w:rPr>
          <w:sz w:val="22"/>
        </w:rPr>
      </w:r>
      <w:r>
        <w:rPr>
          <w:sz w:val="22"/>
        </w:rPr>
      </w:r>
    </w:p>
    <w:p>
      <w:pPr>
        <w:pStyle w:val="1004"/>
        <w:ind w:left="382" w:right="1" w:firstLine="0"/>
        <w:spacing w:after="0" w:line="240" w:lineRule="auto"/>
        <w:rPr>
          <w:sz w:val="22"/>
        </w:rPr>
      </w:pPr>
      <w:r>
        <w:rPr>
          <w:sz w:val="22"/>
        </w:rPr>
        <w:t xml:space="preserve">Ф.И.О. ответственного за предоставление информации _________________________________</w:t>
      </w:r>
      <w:r>
        <w:rPr>
          <w:sz w:val="22"/>
        </w:rPr>
      </w:r>
      <w:r>
        <w:rPr>
          <w:sz w:val="22"/>
        </w:rPr>
      </w:r>
    </w:p>
    <w:p>
      <w:pPr>
        <w:pStyle w:val="1004"/>
        <w:ind w:left="382" w:right="1" w:firstLine="0"/>
        <w:spacing w:after="0" w:line="240" w:lineRule="auto"/>
        <w:rPr>
          <w:b/>
          <w:szCs w:val="24"/>
        </w:rPr>
      </w:pPr>
      <w:r>
        <w:rPr>
          <w:sz w:val="22"/>
        </w:rPr>
        <w:t xml:space="preserve">Контактный номер </w:t>
      </w:r>
      <w:r>
        <w:rPr>
          <w:sz w:val="22"/>
        </w:rPr>
        <w:t xml:space="preserve">телефона:_</w:t>
      </w:r>
      <w:r>
        <w:rPr>
          <w:sz w:val="22"/>
        </w:rPr>
        <w:t xml:space="preserve">_____________________________________________</w:t>
      </w:r>
      <w:r>
        <w:rPr>
          <w:sz w:val="22"/>
        </w:rPr>
        <w:t xml:space="preserve">__</w:t>
      </w:r>
      <w:r>
        <w:rPr>
          <w:sz w:val="22"/>
        </w:rPr>
        <w:t xml:space="preserve">_______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  <w:t xml:space="preserve">Внимание: выделен</w:t>
      </w:r>
      <w:r>
        <w:rPr>
          <w:b/>
          <w:szCs w:val="24"/>
        </w:rPr>
        <w:t xml:space="preserve">н</w:t>
      </w:r>
      <w:r>
        <w:rPr>
          <w:b/>
          <w:szCs w:val="24"/>
        </w:rPr>
        <w:t xml:space="preserve">ые строки заполняются автоматически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1"/>
        <w:gridCol w:w="7316"/>
        <w:gridCol w:w="1493"/>
      </w:tblGrid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0" w:type="auto"/>
            <w:textDirection w:val="lrTb"/>
            <w:noWrap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п/п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0" w:type="auto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Общие сведения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подведомственных общеобразовательных организаций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не заполняется</w:t>
            </w:r>
            <w:r/>
          </w:p>
        </w:tc>
      </w:tr>
      <w:tr>
        <w:trPr>
          <w:trHeight w:val="24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обучающихся,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2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начальное общее образование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27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основное общее образование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26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среднее общее образование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2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интерната для проживания иногородних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51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проживающих в интернате для проживания иногородних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0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в трудной жизненной ситуации (с учетом требований статьи 1 Федерального закона "Об основных гарантиях прав ребенка в Российской Федерации" от 24 июля 1998 г. № 124-ФЗ), следующих отдельных категорий: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не заполняется</w:t>
            </w:r>
            <w:r/>
          </w:p>
        </w:tc>
      </w:tr>
      <w:tr>
        <w:trPr>
          <w:trHeight w:val="55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дети-сироты и дети, оставшиеся без попечения родителей (подтверждено документом органа опеки)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9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дети — жертвы вооружённых и межнациональных конфликтов, экологических и техногенных катастроф, стихийных бедствий (подтверждено документом территориальных органов УМВД, МЧС)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0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беженцев и вынужденных переселенцев (в соответствии с Федеральным законом от 19.02.1993 № 4528-</w:t>
            </w:r>
            <w:r>
              <w:t xml:space="preserve">1  "</w:t>
            </w:r>
            <w:r>
              <w:t xml:space="preserve">О беженцах")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дети - жертвы насилия (в отношении которых совершены преступления против личности, в том числе против половой неприкосновенности)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27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дети, ранее отбывавшие наказание в виде лишения свободы в воспитательных колониях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7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дети, ранее об</w:t>
            </w:r>
            <w:r>
              <w:t xml:space="preserve">учающиеся в образовательных организациях для обучающихся с девиантным поведением, нуждающихся в особых условиях воспитания, обучения и требующих специального педагогического подхода (специальных учебно-воспитательных учреждениях открытого и закрытого типа)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участников (ветеранов) СВО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дети иностранных граждан и лиц без гражданства (в соответствии с пп.2.1. п.2 ст.78 Федерального закона от 29.12.2012 № 273-ФЗ)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мигрантов (при наличии документов</w:t>
            </w:r>
            <w:r>
              <w:t xml:space="preserve">, </w:t>
            </w:r>
            <w:r>
              <w:t xml:space="preserve">подтверждающих вид на жительство, разрешение на временное проживание, прибывших по визе)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9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дети, прибывшие с территорий субъектов Российской Федерац</w:t>
            </w:r>
            <w:r>
              <w:t xml:space="preserve">ии, прилегающих к районам проведения специальной военной операции (Распоряжение Правительства Российской Федерации от 11 августа 2025 г. № 2148-р Об утверждении перечня территорий субъектов РФ, прилегающих к районам проведения специальной военной операции)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5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оценке сформированности ценностных ориентаций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70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вовлеченных в деятельность детских и молодежных общественных объединений, действующих на территории муниципального образования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2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подростковых, молодежных клубов по месту жительства, действующих на территории муниципального образования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66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вовлеченных в деятельность подростковых, молодежных клубов по месту жительства, действующих на территории муниципального образования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7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программ и проектов, реализуемых общеобразовательной организацией по приоритетным направлениям воспитания и социализации обучающихся (за предшествующие 6 месяцев),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25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1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общеобразовательной организацией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1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являющихся участниками программ и проектов по приоритетным направлениям воспитания и социализации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9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проектов и программ по приоритетным направлениям воспитания и социализации обучающихся с участием детей с ОВЗ и детьми-инвалидами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0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 и детей-инвалидов, являющихся участниками программ и проектов по приоритетным направлениям воспитания и социализации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включенных в волонтерскую деятельность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занимающихся в организациях дополнительного образования, в объединениях и научных обществах организаций дополнительного образования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программ по просвещению и консультированию родителей по правовым, экономическим, медицинским, психолого-педагогическим и иным вопросам семейного воспитания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клубов по просвещению и консультированию родителей по правовым, экономическим, медицинским, психолого-педагогическим и иным вопросам семейного воспитания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охвачены мероприятиями по просвещению по правовым, экономическим, медицинским, психолого-педагогическим и иным вопросам семейного воспитания, от общего количества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для обучающихся по основам информационной безопасности, безопасности в информационно-телекоммуникационной сети «Интернет» и повышению </w:t>
            </w:r>
            <w:r>
              <w:t xml:space="preserve">медиаграмотности</w:t>
            </w:r>
            <w:r>
              <w:t xml:space="preserve">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охваченных мероприятиями, направленными на повышение </w:t>
            </w:r>
            <w:r>
              <w:t xml:space="preserve">медийно</w:t>
            </w:r>
            <w:r>
              <w:t xml:space="preserve">-информационной культуры и обеспечение безопасности в информационно-телекоммуникационной сети «Интернет»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для родителей обучающихся, направленных на повышение </w:t>
            </w:r>
            <w:r>
              <w:t xml:space="preserve">медийно</w:t>
            </w:r>
            <w:r>
              <w:t xml:space="preserve">-информационной культуры обучающихся и обеспечение безопасности в информационно-телекоммуникационной сети «Интернет»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охваченных мероприятиями, направленными на повышение </w:t>
            </w:r>
            <w:r>
              <w:t xml:space="preserve">медийно</w:t>
            </w:r>
            <w:r>
              <w:t xml:space="preserve">-информационной культуры и обеспечение безопасности обучающихся в информационно-телекоммуникационной сети «Интернет», от общего количества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2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органа самоуправления</w:t>
            </w:r>
            <w:r>
              <w:t xml:space="preserve"> </w:t>
            </w:r>
            <w:r>
              <w:t xml:space="preserve">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8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</w:t>
            </w:r>
            <w:r>
              <w:t xml:space="preserve">организации  пресс</w:t>
            </w:r>
            <w:r>
              <w:t xml:space="preserve">-службы, медиа-студии, медиа холдинга и далее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3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</w:t>
            </w:r>
            <w:r>
              <w:t xml:space="preserve">организации  службы</w:t>
            </w:r>
            <w:r>
              <w:t xml:space="preserve"> школьной медиации (примирения)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5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</w:t>
            </w:r>
            <w:r>
              <w:t xml:space="preserve">организации  психологической</w:t>
            </w:r>
            <w:r>
              <w:t xml:space="preserve"> службы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</w:t>
            </w:r>
            <w:r>
              <w:t xml:space="preserve">организации  театра</w:t>
            </w:r>
            <w:r>
              <w:t xml:space="preserve">, театральной студии  </w:t>
            </w:r>
            <w:r/>
          </w:p>
          <w:p>
            <w:pPr>
              <w:jc w:val="both"/>
            </w:pPr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27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</w:t>
            </w:r>
            <w:r>
              <w:t xml:space="preserve">организации  музея</w:t>
            </w:r>
            <w:r>
              <w:t xml:space="preserve">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общественных объединений родителей обучающихся, действующих на территории муниципального образования, в деятельности которых участвуют родители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5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15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включены в деятельность общественных объединений родителе</w:t>
            </w:r>
            <w:r>
              <w:t xml:space="preserve">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общеобразовательной организации, от общего количества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2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Профилактика деструктивного поведения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108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признанных находящимися в социально опасном положении (далее - СОП) н</w:t>
            </w:r>
            <w:r>
              <w:t xml:space="preserve">а основании постановления муниципальной комиссии по делам несовершеннолетних и защите их прав (пункт 1 статьи 5 Федерального закона № 120-ФЗ "Об основах системы профилактики безнадзорности и правонарушений несовершеннолетних")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1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семей, признанных находящимися в социально опасном положении н</w:t>
            </w:r>
            <w:r>
              <w:t xml:space="preserve">а основании постановления муниципальной комиссии по делам несовершеннолетних и защите их прав (пункт 2 статьи 5 Федерального закона № 120-ФЗ "Об основах системы профилактики безнадзорности и правонарушений несовершеннолетних")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9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несовершеннолетних, не посещающих или систематически пропускающих по неуважительным причинам занятия в общеобразовательных организациях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6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обучающихся находящихся в различных группах риска по результатам проведения социально-психологического тестирования (далее - СПТ),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87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в группе риска высочайшей вероятности проявлений рискового (в том числе </w:t>
            </w:r>
            <w:r>
              <w:t xml:space="preserve">аддиктивного</w:t>
            </w:r>
            <w:r>
              <w:t xml:space="preserve">) поведения (по результатам проведения СПТ)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1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в группе риска высокой вероятности проявлений рискового (в том числе </w:t>
            </w:r>
            <w:r>
              <w:t xml:space="preserve">аддиктивного</w:t>
            </w:r>
            <w:r>
              <w:t xml:space="preserve">) поведения (по результатам проведения СПТ)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1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совершивших суицидальные попытки (в соответствии с данными учреждений здравоохранения)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5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Учет обучающихся с деструктивным поведением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107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и </w:t>
            </w:r>
            <w:r>
              <w:rPr>
                <w:i/>
                <w:iCs/>
              </w:rPr>
              <w:t xml:space="preserve">достигшие ко времени совершения преступления возраста, с которого наступает уголовная ответственность (14 лет, 16 лет)</w:t>
            </w:r>
            <w:r>
              <w:t xml:space="preserve">, в соответствии с Уголовным кодексом Российской Федерации,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9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9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0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преступления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4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преступления, </w:t>
            </w:r>
            <w:r>
              <w:rPr>
                <w:i/>
                <w:iCs/>
              </w:rPr>
              <w:t xml:space="preserve">достигшие ко времени совершения преступления возраста, с которого наступает уголовная ответственность (14 лет, 16 лет),</w:t>
            </w:r>
            <w:r>
              <w:t xml:space="preserve"> в соответствии с Уголовным кодексом Российской Федерации, </w:t>
            </w:r>
            <w:r>
              <w:rPr>
                <w:i/>
                <w:iCs/>
              </w:rPr>
              <w:t xml:space="preserve">в период проведения с ними индивидуальной профилактической работы</w:t>
            </w:r>
            <w:r>
              <w:t xml:space="preserve"> (далее – ИПР)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0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1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5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преступления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6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деяния, </w:t>
            </w:r>
            <w:r>
              <w:rPr>
                <w:i/>
                <w:iCs/>
              </w:rPr>
              <w:t xml:space="preserve">не достигшие ко времени совершения преступления возраста, с которого наступает уголовная ответственность (14 лет, 16 лет</w:t>
            </w:r>
            <w:r>
              <w:t xml:space="preserve">), в соответствии с Уголовным кодексом Российской Федерации (согласовывается с территориальным УМВД, </w:t>
            </w:r>
            <w:r>
              <w:t xml:space="preserve">КНиЗП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0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4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общественно опасные деяния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6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деяния, </w:t>
            </w:r>
            <w:r>
              <w:rPr>
                <w:i/>
                <w:iCs/>
              </w:rPr>
              <w:t xml:space="preserve">не достигшие ко времени совершения преступления возраста, с которого наступает уголовная ответственность (14 лет, 16 лет</w:t>
            </w:r>
            <w:r>
              <w:t xml:space="preserve">), в соответствии с Уголовным кодексом Российской Федерации, в период проведения ИПР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3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3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общественно опасные деяния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12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достигших ко времени совершения административного правонарушения возраста, с которого наступает административная ответственность (16 лет)</w:t>
            </w:r>
            <w:r>
              <w:t xml:space="preserve">, 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0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5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38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достигших ко времени совершения административного правонарушения возраста, с которого наступает административная ответственность (16 лет), </w:t>
            </w:r>
            <w:r>
              <w:t xml:space="preserve">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</w:t>
            </w:r>
            <w:r>
              <w:rPr>
                <w:i/>
                <w:iCs/>
              </w:rPr>
              <w:t xml:space="preserve">в период проведения ИПР</w:t>
            </w:r>
            <w:r>
              <w:t xml:space="preserve">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4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0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1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не достигших ко времени совершения административного правонарушения возраста, с которого наступает административная ответственность (16 лет</w:t>
            </w:r>
            <w:r>
              <w:t xml:space="preserve">), 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8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9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40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не достигших ко времени совершения административного правонарушения возраста, с которого наступает административная ответственность (16 лет</w:t>
            </w:r>
            <w:r>
              <w:t xml:space="preserve">), в соответствии с Кодексом Российской Федерации об административных правонарушениях (согласовывается с территориальным УМВД), </w:t>
            </w:r>
            <w:r>
              <w:rPr>
                <w:i/>
                <w:iCs/>
              </w:rPr>
              <w:t xml:space="preserve">в период проведения ИПР</w:t>
            </w:r>
            <w:r>
              <w:t xml:space="preserve">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0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ОВЗ, совершивших административные правонарушения, общественно опасные деяния, преступления, но </w:t>
            </w:r>
            <w:r>
              <w:rPr>
                <w:i/>
                <w:iCs/>
              </w:rPr>
              <w:t xml:space="preserve">вследствие отставания в психическом развитии, не подлежащих ответственности</w:t>
            </w:r>
            <w:r>
              <w:t xml:space="preserve">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5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4.9.1.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ОВЗ, совершивших административные правонарушения, общественно опасные деяния, преступления, в том числе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2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несовершеннолетних, совершивших самовольные уходы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0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состоящих на учете в ПДН УМВД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2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снятых с учета в ПДН УМВД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1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обучающихся, состоящих в общеобразовательной </w:t>
            </w:r>
            <w:r>
              <w:t xml:space="preserve">организации  на</w:t>
            </w:r>
            <w:r>
              <w:t xml:space="preserve"> учете отдельных категорий несовершеннолетних,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41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состоящих на учете отдельных категорий несовершеннолетних (отнесенные к категориям лиц, пре</w:t>
            </w:r>
            <w:r>
              <w:t xml:space="preserve">дусмотренным пунктом 1 статьи 5 Федерального закона № 120-ФЗ "Об основах системы профилактики безнадзорности и правонарушений несовершеннолетних", в отношении которых органы и учреждения системы профилактики проводят индивидуальную профилактическую работу)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55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</w:t>
            </w:r>
            <w:r>
              <w:rPr>
                <w:b/>
                <w:bCs/>
                <w:i/>
                <w:iCs/>
              </w:rPr>
              <w:t xml:space="preserve">поставленных на учет отдельных категорий несовершеннолетних, </w:t>
            </w:r>
            <w:r>
              <w:t xml:space="preserve">с согласия руководителя образовательной организации, нуждающиеся в социально-педагогической реабилитации, оказании иных</w:t>
            </w:r>
            <w:r>
              <w:t xml:space="preserve"> видов помощи, организации с ними работы по предупреждению совершения ими правонарушений  и (или) антиобщественных действий (пункт 3 статьи 5 Федерального закона № 120-ФЗ "Об основах системы профилактики безнадзорности и правонарушений несовершеннолетних")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9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4.14.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обучающихся, в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</w:t>
            </w:r>
            <w:r>
              <w:rPr>
                <w:b/>
                <w:bCs/>
              </w:rPr>
              <w:t xml:space="preserve">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41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 в связи с улучшением ситуации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2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 по иным обстоятельствам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Фактическое количество обучающихся, поставленных на профилактические учеты (ПДН УМВД, учет отдельных категорий несовершеннолетних в образовательной организации) </w:t>
            </w:r>
            <w:r>
              <w:rPr>
                <w:i/>
                <w:iCs/>
              </w:rPr>
              <w:t xml:space="preserve">(1 человек, поставленный на несколько учетов, учитывается 1 раз)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выявленных деструктивных аккаунтов обучающихся в социальных сетях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профилактике деструктивного поведения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7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реализуемых программ и планов мероприятий по противодействию деструктивным проявлениям в поведении обучающихся, из них: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ед.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21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22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общеобразовательной организацией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67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участвующих в реализации программ и планов мероприятий по противодействию деструктивным проявлениям в поведении обучающихся, от общего количества обучающихся (в рамках первичной профилактики)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139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охваченных </w:t>
            </w:r>
            <w:r>
              <w:rPr>
                <w:b/>
                <w:bCs/>
                <w:i/>
                <w:iCs/>
              </w:rPr>
              <w:t xml:space="preserve">индивидуальными профилактическими мероприятиями</w:t>
            </w:r>
            <w:r>
              <w:t xml:space="preserve">, осуществляемыми общеобраз</w:t>
            </w:r>
            <w:r>
              <w:t xml:space="preserve">овательными организациями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 (в рамках вторичной и третичной профилактике)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83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специализированного инструментария (диагностики, маркеры (критерии, индикаторы для осуществления наблюдения) для выявления деструктивных проявлений в поведении обучающихся, дополнительно к СПТ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5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по проведению информационно-разъяснительной работы с родителями (законными представителями) обучающихся по вопросам профилактики деструктивного поведения (семинары, тренинги, иное)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9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Доля детей, родители которых принимали участие в информационно-разъяснительной работе по вопросам профилактики деструктивного поведения от общего количества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%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9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по повышению компетенций педагогического коллектива по вопросам профилактики деструктивного поведения обучающихся (семинары, тренинги, иное)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83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Доля педагогов, принимавших участие в мероприятиях по повышению компетенций педагогического коллектива по вопросам профилактики деструктивного поведения обучающихся (семинары, тренинги, иное) от общего количества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%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47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реализуемых программ по половому просвещению и воспитанию, из них: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7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общеобразовательной организацией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9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5.10.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мероприятий по половому просвещению и воспитанию для обучающихся и родителей (законных представителей),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28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6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2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педагогов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44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к реализации программ по половому просвещению и воспитанию: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2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41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5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профилактике суицидального поведения у несовершеннолетних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89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проведенных профилактических мероприятий, направленных на формирование у несовершеннолетних позитивного мышления, ценностного отношения к жизни, основ </w:t>
            </w:r>
            <w:r>
              <w:rPr>
                <w:b/>
                <w:bCs/>
              </w:rPr>
              <w:t xml:space="preserve">ассертивного</w:t>
            </w:r>
            <w:r>
              <w:rPr>
                <w:b/>
                <w:bCs/>
              </w:rPr>
              <w:t xml:space="preserve"> и законопослушного поведения (первичный уровень профилактики),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24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7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11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проведенных проф</w:t>
            </w:r>
            <w:r>
              <w:rPr>
                <w:b/>
                <w:bCs/>
              </w:rPr>
              <w:t xml:space="preserve">илактических мероприятий, направленных на обучение участников образовательных отношений навыкам преодоления тревожных состояний, стресса (в том числе учебного), стабилизации эмоционального состояния и саморегуляции (первичный уровень профилактики),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24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представителей),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85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проведенных профилактических мероприятий с родителями (законными представителями) обучающихся по вопросам формирования эффективных детско-родительских отношений, развитию навыков бесконфликтного общения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9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индивидуальных планов психолого-педагогического сопровождения (далее - ИППС) обучающихся, выявленных в ходе мониторингов, диагностических мероприятий, как нуждающихся в организации психолого-педагогического сопровождения, в том числе: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4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сформированных в рамках вторичной и третичной профилактики </w:t>
            </w:r>
            <w:r>
              <w:t xml:space="preserve">сам</w:t>
            </w:r>
            <w:r>
              <w:t xml:space="preserve">о</w:t>
            </w:r>
            <w:r>
              <w:t xml:space="preserve">повреждающего</w:t>
            </w:r>
            <w:r>
              <w:t xml:space="preserve">, в том числе суицидального поведения несовершеннолетних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85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6.5.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профилактических мероприятий для участников образовательных отношений в рамках вторичной профилактики </w:t>
            </w:r>
            <w:r>
              <w:rPr>
                <w:b/>
                <w:bCs/>
              </w:rPr>
              <w:t xml:space="preserve">аутодеструктивного</w:t>
            </w:r>
            <w:r>
              <w:rPr>
                <w:b/>
                <w:bCs/>
              </w:rPr>
              <w:t xml:space="preserve">, в том числе суицидального поведения несовершеннолетних, из них: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20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3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представителей),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1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9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6.6.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к профилактической работе в рамках вторичного этапа профилактики суицидального поведения несовершеннолетних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9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ИППС, сформированных в рамках третичной профилактики суицидального поведения несовершеннолетних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62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6.8.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к профилактической работе в рамках третичного этапа профилактики </w:t>
            </w:r>
            <w:r>
              <w:rPr>
                <w:b/>
                <w:bCs/>
              </w:rPr>
              <w:t xml:space="preserve">аутодеструктивного</w:t>
            </w:r>
            <w:r>
              <w:rPr>
                <w:b/>
                <w:bCs/>
              </w:rPr>
              <w:t xml:space="preserve"> и суицидального поведения несовершеннолетних, из них (при наличии случаев):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правовому просвещению и правовому информированию несовершеннолетних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проведенных мероприятий по правовому просвещению и правовому информированию,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6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мероприятий по правовому просвещению и правовому информированию для обучающихся и родителей (законных представителей), в форме: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лекций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бесед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семинаров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вебинаров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игр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соревнований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8.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выявлению случаев </w:t>
            </w:r>
            <w:r>
              <w:rPr>
                <w:b/>
                <w:bCs/>
              </w:rPr>
              <w:t xml:space="preserve">травли</w:t>
            </w:r>
            <w:r>
              <w:rPr>
                <w:b/>
                <w:bCs/>
              </w:rPr>
              <w:t xml:space="preserve">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разработанных и реализуемых программ и планов по профилактике травли,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 муниципального уровня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 разработанных образовательными организациями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проведенных профилактических мероприятий, направленных на профилактику травли, формирования коммуникативных навыков, навыков бесконфликтного общения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обращений от участников образовательных отношений в психологическую службу общеобразовательной организации по вопросам, касающимся нарушений межличностных отношений, конфликтов, преследования, травли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мероприятий, проведенных специалистами психологической службы по разрешению вопросов касающихся нарушений межличностных отношений, конфликтов, преследования, травли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к Приказу Департамента образования и науки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Ханты-Мансийского автономного округа - Югры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Cs w:val="24"/>
        </w:rPr>
      </w:pPr>
      <w:r>
        <w:rPr>
          <w:sz w:val="20"/>
          <w:szCs w:val="20"/>
        </w:rPr>
        <w:t xml:space="preserve">от ___________ №___________</w:t>
      </w:r>
      <w:r>
        <w:rPr>
          <w:szCs w:val="24"/>
        </w:rPr>
      </w:r>
      <w:r>
        <w:rPr>
          <w:szCs w:val="24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0"/>
        <w:jc w:val="center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jc w:val="center"/>
        <w:spacing w:after="0" w:line="240" w:lineRule="auto"/>
        <w:rPr>
          <w:b/>
          <w:szCs w:val="24"/>
        </w:rPr>
      </w:pPr>
      <w:r>
        <w:rPr>
          <w:b/>
          <w:szCs w:val="24"/>
        </w:rPr>
        <w:t xml:space="preserve">Мониторинг степени сформированности и эффективности функционирования систем управления качеством образовательной деятельности по показателю «Система организации воспитания обучающихся»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jc w:val="center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1" w:firstLine="0"/>
        <w:spacing w:after="0" w:line="240" w:lineRule="auto"/>
        <w:rPr>
          <w:sz w:val="22"/>
        </w:rPr>
      </w:pPr>
      <w:r>
        <w:rPr>
          <w:sz w:val="22"/>
        </w:rPr>
        <w:t xml:space="preserve">Специализированная (коррекционная) о</w:t>
      </w:r>
      <w:r>
        <w:rPr>
          <w:sz w:val="22"/>
        </w:rPr>
        <w:t xml:space="preserve">бщеобразовательная организация _____</w:t>
      </w:r>
      <w:r>
        <w:rPr>
          <w:sz w:val="22"/>
        </w:rPr>
        <w:t xml:space="preserve">_____</w:t>
      </w:r>
      <w:r>
        <w:rPr>
          <w:sz w:val="22"/>
        </w:rPr>
        <w:t xml:space="preserve">_______</w:t>
      </w:r>
      <w:r>
        <w:rPr>
          <w:sz w:val="22"/>
        </w:rPr>
      </w:r>
      <w:r>
        <w:rPr>
          <w:sz w:val="22"/>
        </w:rPr>
      </w:r>
    </w:p>
    <w:p>
      <w:pPr>
        <w:pStyle w:val="1004"/>
        <w:ind w:left="382" w:right="1" w:firstLine="0"/>
        <w:spacing w:after="0" w:line="240" w:lineRule="auto"/>
        <w:rPr>
          <w:sz w:val="22"/>
        </w:rPr>
      </w:pPr>
      <w:r>
        <w:rPr>
          <w:sz w:val="22"/>
        </w:rPr>
        <w:t xml:space="preserve">Ф.И.О. ответственного за предоставление информации _________________________________</w:t>
      </w:r>
      <w:r>
        <w:rPr>
          <w:sz w:val="22"/>
        </w:rPr>
      </w:r>
      <w:r>
        <w:rPr>
          <w:sz w:val="22"/>
        </w:rPr>
      </w:r>
    </w:p>
    <w:p>
      <w:pPr>
        <w:pStyle w:val="1004"/>
        <w:ind w:left="382" w:right="1" w:firstLine="0"/>
        <w:spacing w:after="0" w:line="240" w:lineRule="auto"/>
        <w:rPr>
          <w:b/>
          <w:szCs w:val="24"/>
        </w:rPr>
      </w:pPr>
      <w:r>
        <w:rPr>
          <w:sz w:val="22"/>
        </w:rPr>
        <w:t xml:space="preserve">Контактный номер </w:t>
      </w:r>
      <w:r>
        <w:rPr>
          <w:sz w:val="22"/>
        </w:rPr>
        <w:t xml:space="preserve">телефона:_</w:t>
      </w:r>
      <w:r>
        <w:rPr>
          <w:sz w:val="22"/>
        </w:rPr>
        <w:t xml:space="preserve">____________________________________________</w:t>
      </w:r>
      <w:r>
        <w:rPr>
          <w:sz w:val="22"/>
        </w:rPr>
        <w:t xml:space="preserve">__</w:t>
      </w:r>
      <w:r>
        <w:rPr>
          <w:sz w:val="22"/>
        </w:rPr>
        <w:t xml:space="preserve">_______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  <w:t xml:space="preserve">Внимание: выделен</w:t>
      </w:r>
      <w:r>
        <w:rPr>
          <w:b/>
          <w:szCs w:val="24"/>
        </w:rPr>
        <w:t xml:space="preserve">н</w:t>
      </w:r>
      <w:r>
        <w:rPr>
          <w:b/>
          <w:szCs w:val="24"/>
        </w:rPr>
        <w:t xml:space="preserve">ые строки заполняются автоматически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1"/>
        <w:gridCol w:w="7316"/>
        <w:gridCol w:w="1493"/>
      </w:tblGrid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0" w:type="auto"/>
            <w:textDirection w:val="lrTb"/>
            <w:noWrap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п/п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0" w:type="auto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bottom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Общие сведения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подведомственных общеобразовательных организаций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не заполняется</w:t>
            </w:r>
            <w:r/>
          </w:p>
        </w:tc>
      </w:tr>
      <w:tr>
        <w:trPr>
          <w:trHeight w:val="10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обучающихся,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2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начальное общее образование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27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основное общее образование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среднее общее образование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3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интерната для проживания иногородних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8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проживающих в интернате для проживания иногородних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0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в трудной жизненной ситуации (с учетом требований статьи 1 Федерального закона "Об основных гарантиях прав ребенка в Российской Федерации" от 24 июля 1998 г. № 124-ФЗ), следующих отдельных категорий: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не заполняется</w:t>
            </w:r>
            <w:r/>
          </w:p>
        </w:tc>
      </w:tr>
      <w:tr>
        <w:trPr>
          <w:trHeight w:val="40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дети-сироты и дети, оставшиеся без попечения родителей (подтверждено документом органа опеки)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8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 — жертвы вооружённых и межнациональных конфликтов, экологических и техногенных катастроф, стихийных бедствий (подтверждено документом территориальных органов УМВД, МЧС)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2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беженцев и вынужденных переселенцев (в соответствии с Федеральным законом от 19.02.1993 № 4528-1 "О беженцах")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37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- жертвы насилия (в отношении которых совершены преступления против личности, в том числе против половой неприкосновенности)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дети, ранее отбывавшие наказание в виде лишения свободы в воспитательных колониях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8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дети, ранее об</w:t>
            </w:r>
            <w:r>
              <w:t xml:space="preserve">учающиеся в образовательных организациях для обучающихся с девиантным поведением, нуждающихся в особых условиях воспитания, обучения и требующих специального педагогического подхода (специальных учебно-воспитательных учреждениях открытого и закрытого типа)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участников (ветеранов) СВО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иностранных граждан и лиц без гражданства (в соответствии с пп.2.1. п.2 ст.78 Федерального закона от 29.12.2012 № 273-ФЗ)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мигрантов (при наличии документов</w:t>
            </w:r>
            <w:r>
              <w:t xml:space="preserve">,</w:t>
            </w:r>
            <w:r>
              <w:t xml:space="preserve"> подтверждающих вид на жительство, разрешение на временное проживание, прибывших по визе)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0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дети, прибывшие с территорий субъектов Российской Федерац</w:t>
            </w:r>
            <w:r>
              <w:t xml:space="preserve">ии, прилегающих к районам проведения специальной военной операции (Распоряжение Правительства Российской Федерации от 11 августа 2025 г. № 2148-р Об утверждении перечня территорий субъектов РФ, прилегающих к районам проведения специальной военной операции)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5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оценке сформированности ценностных ориентаций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55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вовлеченных в деятельность детских и молодежных общественных объединений, действующих на территории муниципального образования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36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подростковых, молодежных клубов по месту жительства, действующих на территории муниципального образования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58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вовлеченных в деятельность подростковых, молодежных клубов по месту жительства, действующих на территории муниципального образования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1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программ и проектов, реализуемых общеобразовательной организацией по приоритетным направлениям воспитания и социализации обучающихся (за предшествующие 6 месяцев),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21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25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общеобразовательной организацией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62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являющихся участниками программ и проектов по приоритетным направлениям воспитания и социализации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7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проектов и программ по приоритетным направлениям воспитания и социализации обучающихся с участием детей с ОВЗ и детьми-инвалидами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не заполняется</w:t>
            </w:r>
            <w:r/>
          </w:p>
        </w:tc>
      </w:tr>
      <w:tr>
        <w:trPr>
          <w:trHeight w:val="57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 и детей-инвалидов, являющихся участниками программ и проектов</w:t>
            </w:r>
            <w:r>
              <w:t xml:space="preserve"> </w:t>
            </w:r>
            <w:r>
              <w:t xml:space="preserve">по приоритетным направлениям воспитания и социализации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не заполняется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включенных в волонтерскую деятельность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занимающихся в организациях дополнительного образования, в объединениях и научных обществах организаций дополнительного образования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программ по просвещению и консультированию родителей по правовым, экономическим, медицинским, психолого-педагогическим и иным вопросам семейного воспитания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клубов по просвещению и консультированию родителей по правовым, экономическим, медицинским, психолого-педагогическим и иным вопросам семейного воспитания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охвачены мероприятиями по просвещению по правовым, экономическим, медицинским, психолого-педагогическим и иным вопросам семейного воспитания, от общего количества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для обучающихся по основам информационной безопасности, безопасности в информационно-телекоммуникационной сети «Интернет» и повышению </w:t>
            </w:r>
            <w:r>
              <w:t xml:space="preserve">медиаграмотности</w:t>
            </w:r>
            <w:r>
              <w:t xml:space="preserve">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охваченных мероприятиями, направленными на повышение </w:t>
            </w:r>
            <w:r>
              <w:t xml:space="preserve">медийно</w:t>
            </w:r>
            <w:r>
              <w:t xml:space="preserve">-информационной культуры и обеспечение безопасности в информационно-телекоммуникационной сети «Интернет»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для родителей обучающихся, направленных на повышение </w:t>
            </w:r>
            <w:r>
              <w:t xml:space="preserve">медийно</w:t>
            </w:r>
            <w:r>
              <w:t xml:space="preserve">-информационной культуры обучающихся и обеспечение безопасности в информационно-телекоммуникационной сети «Интернет»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охваченных мероприятиями, направленными на повышение </w:t>
            </w:r>
            <w:r>
              <w:t xml:space="preserve">медийно</w:t>
            </w:r>
            <w:r>
              <w:t xml:space="preserve">-информационной культуры и обеспечение безопасности обучающихся в информационно-телекоммуникационной сети «Интернет», от общего количества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органа самоуправления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пресс-службы, медиа-студии, медиа холдинга и далее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службы школьной медиации (примирения)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психологической службы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театра, театральной студии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музея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общественных объединений родителей обучающихся, действующих на территории муниципального образования, в деятельности которых участвуют родители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29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0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включены в деятельность общественных объединений родителе</w:t>
            </w:r>
            <w:r>
              <w:t xml:space="preserve">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общеобразовательной организации, от общего количества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Профилактика деструктивного поведения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14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признанных находящимися в социально опасном положении (далее - СОП) н</w:t>
            </w:r>
            <w:r>
              <w:t xml:space="preserve">а основании постановления муниципальной комиссии по делам несовершеннолетних и защите их прав (пункт 1 статьи 5 Федерального закона № 120-ФЗ "Об основах системы профилактики безнадзорности и правонарушений несовершеннолетних")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8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семей, признанных находящимися в социально опасном положении н</w:t>
            </w:r>
            <w:r>
              <w:t xml:space="preserve">а основании постановления муниципальной комиссии по делам несовершеннолетних и защите их прав (пункт 2 статьи 5 Федерального закона № 120-ФЗ "Об основах системы профилактики безнадзорности и правонарушений несовершеннолетних")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27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несовершеннолетних, не посещающих или систематически пропускающих по неуважительным причинам занятия в общеобразовательных организациях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обучающихся находящихся в различных группах риска по результатам проведения социально-психологического тестирования (далее - СПТ),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44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в группе риска высочайшей вероятности проявлений рискового (в том числе </w:t>
            </w:r>
            <w:r>
              <w:t xml:space="preserve">аддиктивного</w:t>
            </w:r>
            <w:r>
              <w:t xml:space="preserve">) поведения (по результатам проведения СПТ)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0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в группе риска высокой вероятности проявлений рискового (в том числе </w:t>
            </w:r>
            <w:r>
              <w:t xml:space="preserve">аддиктивного</w:t>
            </w:r>
            <w:r>
              <w:t xml:space="preserve">) поведения (по результатам проведения СПТ)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6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совершивших суицидальные попытки (в соответствии с данными учреждений здравоохранения)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5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Учет обучающихся с деструктивным поведением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9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и </w:t>
            </w:r>
            <w:r>
              <w:rPr>
                <w:i/>
                <w:iCs/>
              </w:rPr>
              <w:t xml:space="preserve">достигшие ко времени совершения преступления возраста, с которого наступает уголовная ответственность (14 лет, 16 лет)</w:t>
            </w:r>
            <w:r>
              <w:t xml:space="preserve">, в соответствии с Уголовным кодексом Российской Федерации,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преступления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19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преступления, </w:t>
            </w:r>
            <w:r>
              <w:rPr>
                <w:i/>
                <w:iCs/>
              </w:rPr>
              <w:t xml:space="preserve">достигшие ко времени совершения преступления возраста, с которого наступает уголовная ответственность (14 лет, 16 лет),</w:t>
            </w:r>
            <w:r>
              <w:t xml:space="preserve"> в соответствии с Уголовным кодексом Российской Федерации, </w:t>
            </w:r>
            <w:r>
              <w:rPr>
                <w:i/>
                <w:iCs/>
              </w:rPr>
              <w:t xml:space="preserve">в период проведения с ними индивидуальной профилактической работы</w:t>
            </w:r>
            <w:r>
              <w:t xml:space="preserve"> (далее – ИПР)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6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27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преступления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9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деяния, </w:t>
            </w:r>
            <w:r>
              <w:rPr>
                <w:i/>
                <w:iCs/>
              </w:rPr>
              <w:t xml:space="preserve">не достигшие ко времени совершения преступления возраста, с которого наступает уголовная ответственность (14 лет, 16 лет</w:t>
            </w:r>
            <w:r>
              <w:t xml:space="preserve">), в соответствии с Уголовным кодексом Российской Федерации (согласовывается с территориальным УМВД, </w:t>
            </w:r>
            <w:r>
              <w:t xml:space="preserve">КНиЗП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2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6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общественно опасные деяния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1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деяния, </w:t>
            </w:r>
            <w:r>
              <w:rPr>
                <w:i/>
                <w:iCs/>
              </w:rPr>
              <w:t xml:space="preserve">не достигшие ко времени совершения преступления возраста, с которого наступает уголовная ответственность (14 лет, 16 лет</w:t>
            </w:r>
            <w:r>
              <w:t xml:space="preserve">), в соответствии с Уголовным кодексом Российской Федерации, в период проведения ИПР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2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8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2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общественно опасные деяния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00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достигших ко времени совершения административного правонарушения возраста, с которого наступает административная ответственность (16 лет)</w:t>
            </w:r>
            <w:r>
              <w:t xml:space="preserve">, 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7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9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36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достигших ко времени совершения административного правонарушения возраста, с которого наступает административная ответственность (16 лет), </w:t>
            </w:r>
            <w:r>
              <w:t xml:space="preserve">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</w:t>
            </w:r>
            <w:r>
              <w:rPr>
                <w:i/>
                <w:iCs/>
              </w:rPr>
              <w:t xml:space="preserve">в период проведения ИПР</w:t>
            </w:r>
            <w:r>
              <w:t xml:space="preserve">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6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32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0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не достигших ко времени совершения административного правонарушения возраста, с которого наступает административная ответственность (16 лет</w:t>
            </w:r>
            <w:r>
              <w:t xml:space="preserve">), 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4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0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34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53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не достигших ко времени совершения административного правонарушения возраста, с которого наступает административная ответственность (16 лет</w:t>
            </w:r>
            <w:r>
              <w:t xml:space="preserve">), в соответствии с Кодексом Российской Федерации об административных правонарушениях (согласовывается с территориальным УМВД), </w:t>
            </w:r>
            <w:r>
              <w:rPr>
                <w:i/>
                <w:iCs/>
              </w:rPr>
              <w:t xml:space="preserve">в период проведения ИПР</w:t>
            </w:r>
            <w:r>
              <w:t xml:space="preserve">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2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ОВЗ, совершивших административные правонарушения, общественно опасные деяния, преступления, но </w:t>
            </w:r>
            <w:r>
              <w:rPr>
                <w:i/>
                <w:iCs/>
              </w:rPr>
              <w:t xml:space="preserve">вследствие отставания в психическом развитии, не подлежащих ответственности</w:t>
            </w:r>
            <w:r>
              <w:t xml:space="preserve">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8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4.9.1.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ОВЗ, совершивших административные правонарушения, общественно опасные деяния, преступления, в том числе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8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несовершеннолетних, совершивших самовольные уходы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1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состоящих на учете в ПДН УМВД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1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снятых с учета в ПДН УМВД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4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обучающихся, состоящих в общеобразовательной организации на учете отдельных категорий несовершеннолетних,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состоящих на учете отдельных категорий несовершеннолетних (отнесенные к категориям лиц, пре</w:t>
            </w:r>
            <w:r>
              <w:t xml:space="preserve">дусмотренным пунктом 1 статьи 5 Федерального закона № 120-ФЗ "Об основах системы профилактики безнадзорности и правонарушений несовершеннолетних", в отношении которых органы и учреждения системы профилактики проводят индивидуальную профилактическую работу)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66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</w:t>
            </w:r>
            <w:r>
              <w:rPr>
                <w:b/>
                <w:bCs/>
                <w:i/>
                <w:iCs/>
              </w:rPr>
              <w:t xml:space="preserve">поставленных на учет отдельных категорий несовершеннолетних, </w:t>
            </w:r>
            <w:r>
              <w:t xml:space="preserve">с согласия руководителя образовательной организации, нуждающиеся в социально-педагогической реабилитации, оказании иных</w:t>
            </w:r>
            <w:r>
              <w:t xml:space="preserve"> видов помощи, организации с ними работы по предупреждению совершения ими правонарушений  и (или) антиобщественных действий (пункт 3 статьи 5 Федерального закона № 120-ФЗ "Об основах системы профилактики безнадзорности и правонарушений несовершеннолетних")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0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4.14.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обучающихся, в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</w:t>
            </w:r>
            <w:r>
              <w:rPr>
                <w:b/>
                <w:bCs/>
              </w:rPr>
              <w:t xml:space="preserve">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42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 в связи с улучшением ситуации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7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 по иным обстоятельствам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Фактическое количество обучающихся, поставленных на профилактические учеты (ПДН УМВД, учет отдельных категорий несовершеннолетних в образовательной организации) </w:t>
            </w:r>
            <w:r>
              <w:rPr>
                <w:i/>
                <w:iCs/>
              </w:rPr>
              <w:t xml:space="preserve">(1 человек, поставленный на несколько учетов, учитывается 1 раз)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выявленных деструктивных аккаунтов обучающихся в социальных сетях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профилактике деструктивного поведения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7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реализуемых программ и планов мероприятий по противодействию деструктивным проявлениям в поведении обучающихся, из них: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ед.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19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7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общеобразовательной организацией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68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участвующих в реализации программ и планов мероприятий по противодействию деструктивным проявлениям в поведении обучающихся, от общего количества обучающихся (в рамках первичной профилактики)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154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охваченных </w:t>
            </w:r>
            <w:r>
              <w:rPr>
                <w:b/>
                <w:bCs/>
                <w:i/>
                <w:iCs/>
              </w:rPr>
              <w:t xml:space="preserve">индивидуальными профилактическими мероприятиями</w:t>
            </w:r>
            <w:r>
              <w:t xml:space="preserve">, осуществляемыми общеобраз</w:t>
            </w:r>
            <w:r>
              <w:t xml:space="preserve">овательными организациями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 (в рамках вторичной и третичной профилактике)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41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общеобразовательной организации специализированного инструментария (диагностики, маркеры (критерии, индикаторы для осуществления наблюдения) для выявления деструктивных проявлений в поведении обучающихся, дополнительно к СПТ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9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по проведению информационно-разъяснительной работы с родителями (законными представителями) обучающихся по вопросам профилактики деструктивного поведения (семинары, тренинги, иное)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3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детей, родители которых принимали участие в информационно-разъяснительной работе по вопросам профилактики деструктивного поведения от общего количества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%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8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по повышению компетенций педагогического коллектива по вопросам профилактики деструктивного поведения обучающихся (семинары, тренинги, иное)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86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педагогов, принимавших участие в мероприятиях по повышению компетенций педагогического коллектива по вопросам профилактики деструктивного поведения обучающихся (семинары, тренинги, иное) от общего количества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%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реализуемых программ по половому просвещению и воспитанию, из них: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9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общеобразовательной организацией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9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5.10.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мероприятий по половому просвещению и воспитанию для обучающихся и родителей (законных представителей),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17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3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педагогов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46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к реализации программ по половому просвещению и воспитанию: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13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45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5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профилактике суицидального поведения у несовершеннолетних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84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проведенных профилактических мероприятий, направленных на формирование у несовершеннолетних позитивного мышления, ценностного отношения к жизни, основ </w:t>
            </w:r>
            <w:r>
              <w:rPr>
                <w:b/>
                <w:bCs/>
              </w:rPr>
              <w:t xml:space="preserve">ассертивного</w:t>
            </w:r>
            <w:r>
              <w:rPr>
                <w:b/>
                <w:bCs/>
              </w:rPr>
              <w:t xml:space="preserve"> и законопослушного поведения (первичный уровень профилактики),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7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1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7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33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проведенных проф</w:t>
            </w:r>
            <w:r>
              <w:rPr>
                <w:b/>
                <w:bCs/>
              </w:rPr>
              <w:t xml:space="preserve">илактических мероприятий, направленных на обучение участников образовательных отношений навыкам преодоления тревожных состояний, стресса (в том числе учебного), стабилизации эмоционального состояния и саморегуляции (первичный уровень профилактики),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21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3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представителей),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8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05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проведенных профилактических мероприятий с родителями (законными представителями) обучающихся по вопросам формирования эффективных детско-родительских отношений, развитию навыков бесконфликтного общения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93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индивидуальных планов психолого-педагогического сопровождения (далее - ИППС) обучающихся, выявленных в ходе мониторингов, диагностических мероприятий, как нуждающихся в организации психолого-педагогического сопровождения, в том числе: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7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сформированных в рамках вторичной и третичной профилактики </w:t>
            </w:r>
            <w:r>
              <w:t xml:space="preserve">сам</w:t>
            </w:r>
            <w:r>
              <w:t xml:space="preserve">о</w:t>
            </w:r>
            <w:r>
              <w:t xml:space="preserve">повреждающего</w:t>
            </w:r>
            <w:r>
              <w:t xml:space="preserve">, в том числе суицидального поведения несовершеннолетних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97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6.5.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профилактических мероприятий для участников образовательных отношений в рамках вторичной профилактики </w:t>
            </w:r>
            <w:r>
              <w:rPr>
                <w:b/>
                <w:bCs/>
              </w:rPr>
              <w:t xml:space="preserve">аутодеструктивного</w:t>
            </w:r>
            <w:r>
              <w:rPr>
                <w:b/>
                <w:bCs/>
              </w:rPr>
              <w:t xml:space="preserve">, в том числе суицидального поведения несовершеннолетних, из них: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27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9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представителей),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5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47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6.6.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к профилактической работе в рамках вторичного этапа профилактики суицидального поведения несовершеннолетних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3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ИППС, сформированных в рамках третичной профилактики суицидального поведения несовершеннолетних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62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6.8.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к профилактической работе в рамках третичного этапа профилактики </w:t>
            </w:r>
            <w:r>
              <w:rPr>
                <w:b/>
                <w:bCs/>
              </w:rPr>
              <w:t xml:space="preserve">аутодеструктивного</w:t>
            </w:r>
            <w:r>
              <w:rPr>
                <w:b/>
                <w:bCs/>
              </w:rPr>
              <w:t xml:space="preserve"> и суицидального поведения несовершеннолетних, из них (при наличии случаев):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правовому просвещению и правовому информированию несовершеннолетних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проведенных мероприятий по правовому просвещению и правовому информированию,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8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мероприятий по правовому просвещению и правовому информированию для обучающихся и родителей (законных представителей), в форме: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лекций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бесед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семинаров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вебинаров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игр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соревнований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8.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выявлению случаев </w:t>
            </w:r>
            <w:r>
              <w:rPr>
                <w:b/>
                <w:bCs/>
              </w:rPr>
              <w:t xml:space="preserve">трав</w:t>
            </w:r>
            <w:r>
              <w:rPr>
                <w:b/>
                <w:bCs/>
              </w:rPr>
              <w:t xml:space="preserve">ли</w:t>
            </w:r>
            <w:r>
              <w:rPr>
                <w:b/>
                <w:bCs/>
              </w:rPr>
              <w:t xml:space="preserve">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разработанных и реализуемых программ и планов по профилактике травли,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муниципального уровня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8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разработанных образовательными организациями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проведенных профилактических мероприятий, направленных на профилактику травли, формирования коммуникативных навыков, навыков бесконфликтного общения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94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обращений от участников образовательных отношений в психологическую службу общеобразовательной организации по вопросам, касающимся нарушений межличностных отношений, конфликтов, преследования, травли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мероприятий, проведенных специалистами психологической службы по разрешению вопросов касающихся нарушений межличностных отношений, конфликтов, преследования, травли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к Приказу Департамента образования и науки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Ханты-Мансийского автономного округа - Югры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ind w:left="382" w:right="1" w:firstLine="638"/>
        <w:jc w:val="right"/>
        <w:spacing w:after="0" w:line="240" w:lineRule="auto"/>
        <w:rPr>
          <w:szCs w:val="24"/>
        </w:rPr>
      </w:pPr>
      <w:r>
        <w:rPr>
          <w:sz w:val="20"/>
          <w:szCs w:val="20"/>
        </w:rPr>
        <w:t xml:space="preserve">от ___________ №___________</w:t>
      </w:r>
      <w:r>
        <w:rPr>
          <w:szCs w:val="24"/>
        </w:rPr>
      </w:r>
      <w:r>
        <w:rPr>
          <w:szCs w:val="24"/>
        </w:rPr>
      </w:r>
    </w:p>
    <w:p>
      <w:pPr>
        <w:pStyle w:val="1004"/>
        <w:ind w:left="382" w:right="370" w:firstLine="638"/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1004"/>
        <w:ind w:left="382" w:right="370" w:firstLine="0"/>
        <w:jc w:val="center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jc w:val="center"/>
        <w:spacing w:after="0" w:line="240" w:lineRule="auto"/>
        <w:rPr>
          <w:b/>
          <w:szCs w:val="24"/>
        </w:rPr>
      </w:pPr>
      <w:r>
        <w:rPr>
          <w:b/>
          <w:szCs w:val="24"/>
        </w:rPr>
        <w:t xml:space="preserve">Мониторинг степени сформированности и эффективности функционирования систем управления качеством образовательной деятельности по показателю «Система организации воспитания обучающихся»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jc w:val="center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1" w:firstLine="0"/>
        <w:spacing w:after="0" w:line="240" w:lineRule="auto"/>
        <w:rPr>
          <w:sz w:val="22"/>
        </w:rPr>
      </w:pPr>
      <w:r>
        <w:rPr>
          <w:sz w:val="22"/>
        </w:rPr>
        <w:t xml:space="preserve">О</w:t>
      </w:r>
      <w:r>
        <w:rPr>
          <w:sz w:val="22"/>
        </w:rPr>
        <w:t xml:space="preserve">бразовательная организация</w:t>
      </w:r>
      <w:r>
        <w:rPr>
          <w:sz w:val="22"/>
        </w:rPr>
        <w:t xml:space="preserve"> профессионального обра</w:t>
      </w:r>
      <w:r>
        <w:rPr>
          <w:sz w:val="22"/>
        </w:rPr>
        <w:t xml:space="preserve">з</w:t>
      </w:r>
      <w:r>
        <w:rPr>
          <w:sz w:val="22"/>
        </w:rPr>
        <w:t xml:space="preserve">ования</w:t>
      </w:r>
      <w:r>
        <w:rPr>
          <w:sz w:val="22"/>
        </w:rPr>
        <w:t xml:space="preserve"> ____</w:t>
      </w:r>
      <w:r>
        <w:rPr>
          <w:sz w:val="22"/>
        </w:rPr>
        <w:t xml:space="preserve">__________</w:t>
      </w:r>
      <w:r>
        <w:rPr>
          <w:sz w:val="22"/>
        </w:rPr>
        <w:t xml:space="preserve">_</w:t>
      </w:r>
      <w:r>
        <w:rPr>
          <w:sz w:val="22"/>
        </w:rPr>
        <w:t xml:space="preserve">_____</w:t>
      </w:r>
      <w:r>
        <w:rPr>
          <w:sz w:val="22"/>
        </w:rPr>
        <w:t xml:space="preserve">_______</w:t>
      </w:r>
      <w:r>
        <w:rPr>
          <w:sz w:val="22"/>
        </w:rPr>
      </w:r>
      <w:r>
        <w:rPr>
          <w:sz w:val="22"/>
        </w:rPr>
      </w:r>
    </w:p>
    <w:p>
      <w:pPr>
        <w:pStyle w:val="1004"/>
        <w:ind w:left="382" w:right="1" w:firstLine="0"/>
        <w:spacing w:after="0" w:line="240" w:lineRule="auto"/>
        <w:rPr>
          <w:sz w:val="22"/>
        </w:rPr>
      </w:pPr>
      <w:r>
        <w:rPr>
          <w:sz w:val="22"/>
        </w:rPr>
        <w:t xml:space="preserve">Ф.И.О. ответственного за предоставление информации _________________________________</w:t>
      </w:r>
      <w:r>
        <w:rPr>
          <w:sz w:val="22"/>
        </w:rPr>
      </w:r>
      <w:r>
        <w:rPr>
          <w:sz w:val="22"/>
        </w:rPr>
      </w:r>
    </w:p>
    <w:p>
      <w:pPr>
        <w:pStyle w:val="1004"/>
        <w:ind w:left="382" w:right="1" w:firstLine="0"/>
        <w:spacing w:after="0" w:line="240" w:lineRule="auto"/>
        <w:rPr>
          <w:b/>
          <w:szCs w:val="24"/>
        </w:rPr>
      </w:pPr>
      <w:r>
        <w:rPr>
          <w:sz w:val="22"/>
        </w:rPr>
        <w:t xml:space="preserve">Контактный номер </w:t>
      </w:r>
      <w:r>
        <w:rPr>
          <w:sz w:val="22"/>
        </w:rPr>
        <w:t xml:space="preserve">телефона:_</w:t>
      </w:r>
      <w:r>
        <w:rPr>
          <w:sz w:val="22"/>
        </w:rPr>
        <w:t xml:space="preserve">_____________________________________</w:t>
      </w:r>
      <w:r>
        <w:rPr>
          <w:sz w:val="22"/>
        </w:rPr>
        <w:t xml:space="preserve">_</w:t>
      </w:r>
      <w:r>
        <w:rPr>
          <w:sz w:val="22"/>
        </w:rPr>
        <w:t xml:space="preserve">_______</w:t>
      </w:r>
      <w:r>
        <w:rPr>
          <w:sz w:val="22"/>
        </w:rPr>
        <w:t xml:space="preserve">__</w:t>
      </w:r>
      <w:r>
        <w:rPr>
          <w:sz w:val="22"/>
        </w:rPr>
        <w:t xml:space="preserve">_______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  <w:t xml:space="preserve">Внимание: выделен</w:t>
      </w:r>
      <w:r>
        <w:rPr>
          <w:b/>
          <w:szCs w:val="24"/>
        </w:rPr>
        <w:t xml:space="preserve">н</w:t>
      </w:r>
      <w:r>
        <w:rPr>
          <w:b/>
          <w:szCs w:val="24"/>
        </w:rPr>
        <w:t xml:space="preserve">ые строки заполняются автоматически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tbl>
      <w:tblPr>
        <w:tblW w:w="9680" w:type="dxa"/>
        <w:tblLook w:val="04A0" w:firstRow="1" w:lastRow="0" w:firstColumn="1" w:lastColumn="0" w:noHBand="0" w:noVBand="1"/>
      </w:tblPr>
      <w:tblGrid>
        <w:gridCol w:w="821"/>
        <w:gridCol w:w="7420"/>
        <w:gridCol w:w="1440"/>
      </w:tblGrid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820" w:type="dxa"/>
            <w:textDirection w:val="lrTb"/>
            <w:noWrap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п/п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7420" w:type="dxa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bottom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Общие сведения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26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подведомственных образовательных организаций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не заполняется</w:t>
            </w:r>
            <w:r/>
          </w:p>
        </w:tc>
      </w:tr>
      <w:tr>
        <w:trPr>
          <w:trHeight w:val="22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обучающихся,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52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образовательной организации общежития для проживания иногородних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4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проживающих в общежитии для проживания иногородних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3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в трудной жизненной ситуации (с учетом требований статьи 1 Федерального закона "Об основных гарантиях прав ребенка в Российской Федерации" от 24 июля 1998 г. № 124-ФЗ), следующих отдельных категорий: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не заполняется</w:t>
            </w:r>
            <w:r/>
          </w:p>
        </w:tc>
      </w:tr>
      <w:tr>
        <w:trPr>
          <w:trHeight w:val="55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дети-сироты и дети, оставшиеся без попечения родителей (подтверждено документом органа опеки)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4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 — жертвы вооружённых и межнациональных конфликтов, экологических и техногенных катастроф, стихийных бедствий (подтверждено документом территориальных органов УМВД, МЧС)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беженцев и вынужденных переселенцев (в соответствии с Федеральным законом от 19.02.1993 № 4528-</w:t>
            </w:r>
            <w:r>
              <w:t xml:space="preserve">1  "</w:t>
            </w:r>
            <w:r>
              <w:t xml:space="preserve">О беженцах")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- жертвы насилия (в отношении которых совершены преступления против личности, в том числе против половой неприкосновенности)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4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дети, ранее отбывавшие наказание в виде лишения свободы в воспитательных колониях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15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дети, ранее об</w:t>
            </w:r>
            <w:r>
              <w:t xml:space="preserve">учающиеся в образовательных организациях для обучающихся с девиантным поведением, нуждающихся в особых условиях воспитания, обучения и требующих специального педагогического подхода (специальных учебно-воспитательных учреждениях открытого и закрытого типа)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участников (ветеранов) СВО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иностранных граждан и лиц без гражданства (в соответствии с пп.2.1. п.2 ст.78 Федерального закона от 29.12.2012 № 273-ФЗ)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 из семей мигрантов (при наличии документов</w:t>
            </w:r>
            <w:r>
              <w:t xml:space="preserve">,</w:t>
            </w:r>
            <w:r>
              <w:t xml:space="preserve"> подтверждающих вид на жительство, разрешение на временное проживание, прибывших по визе)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дети, прибывшие с территорий субъектов Российской Федерац</w:t>
            </w:r>
            <w:r>
              <w:t xml:space="preserve">ии, прилегающих к районам проведения специальной военной операции (Распоряжение Правительства Российской Федерации от 11 августа 2025 г. № 2148-р Об утверждении перечня территорий субъектов РФ, прилегающих к районам проведения специальной военной операции)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45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оценке сформированности ценностных ориентаций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103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вовлеченных в деятельность детских и молодежных общественных объединений, действующих на территории муниципального образования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подростковых, молодежных клубов по месту жительства, действующих на территории муниципального образования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09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вовлеченных в деятельность подростковых, молодежных клубов по месту жительства, действующих на территории муниципального образования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6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программ и проектов, реализуемых образовательной организацией по приоритетным направлениям воспитания и социализации обучающихся (за предшествующие 6 месяцев),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4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образовательной организацией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0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являющихся участниками программ и проектов по приоритетным направлениям воспитания и социализации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проектов и программ по приоритетным направлениям воспитания и социализации обучающихся с участием детей с ОВЗ и детьми-инвалидами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03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 и детей-инвалидов, являющихся участниками программ и проектов по приоритетным направлениям воспитания и социализации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включенных в волонтерскую деятельность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занимающихся в организациях дополнительного образования, в объединениях и научных обществах организаций дополнительного образования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программ по просвещению и консультированию родителей по правовым, экономическим, медицинским, психолого-педагогическим и иным вопросам семейного воспитания 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клубов по просвещению и консультированию родителей по правовым, экономическим, медицинским, психолого-педагогическим и иным вопросам семейного воспитания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охвачены мероприятиями по просвещению по правовым, экономическим, медицинским, психолого-педагогическим и иным вопросам семейного воспитания, от общего количества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для обучающихся по основам информационной безопасности, безопасности в информационно-телекоммуникационной сети «Интернет» и повышению </w:t>
            </w:r>
            <w:r>
              <w:t xml:space="preserve">медиаграмотности</w:t>
            </w:r>
            <w:r>
              <w:t xml:space="preserve">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охваченных мероприятиями, направленными на повышение </w:t>
            </w:r>
            <w:r>
              <w:t xml:space="preserve">медийно</w:t>
            </w:r>
            <w:r>
              <w:t xml:space="preserve">-информационной культуры и обеспечение безопасности в информационно-телекоммуникационной сети «Интернет»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для родителей обучающихся, направленных на повышение </w:t>
            </w:r>
            <w:r>
              <w:t xml:space="preserve">медийно</w:t>
            </w:r>
            <w:r>
              <w:t xml:space="preserve">-информационной культуры обучающихся и обеспечение безопасности в информационно-телекоммуникационной сети «Интернет»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0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охваченных мероприятиями, направленными на повышение </w:t>
            </w:r>
            <w:r>
              <w:t xml:space="preserve">медийно</w:t>
            </w:r>
            <w:r>
              <w:t xml:space="preserve">-информационной культуры и обеспечение безопасности обучающихся в информационно-телекоммуникационной сети «Интернет», от общего количества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образовательной организации органа </w:t>
            </w:r>
            <w:r>
              <w:t xml:space="preserve">самоуправления 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образовательной организации пресс-службы, медиа-студии, медиа холдинга и далее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образовательной </w:t>
            </w:r>
            <w:r>
              <w:t xml:space="preserve">организации  службы</w:t>
            </w:r>
            <w:r>
              <w:t xml:space="preserve"> школьной медиации (примирения)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образовательной </w:t>
            </w:r>
            <w:r>
              <w:t xml:space="preserve">организации  психологической</w:t>
            </w:r>
            <w:r>
              <w:t xml:space="preserve"> службы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образовательной </w:t>
            </w:r>
            <w:r>
              <w:t xml:space="preserve">организации  театра</w:t>
            </w:r>
            <w:r>
              <w:t xml:space="preserve">, театральной студии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образовательной </w:t>
            </w:r>
            <w:r>
              <w:t xml:space="preserve">организации  музея</w:t>
            </w:r>
            <w:r>
              <w:t xml:space="preserve">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общественных объединений родителей обучающихся, действующих на территории муниципального образования, в деятельности которых участвуют родители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79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141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родители которых включены в деятельность общественных объединений роди</w:t>
            </w:r>
            <w:r>
              <w:t xml:space="preserve">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образовательной организации, от общего количества обучающихся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Профилактика деструктивного поведения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14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признанных находящимися в социально опасном положении (далее - СОП) н</w:t>
            </w:r>
            <w:r>
              <w:t xml:space="preserve">а основании постановления муниципальной комиссии по делам несовершеннолетних и защите их прав (пункт 1 статьи 5 Федерального закона № 120-ФЗ "Об основах системы профилактики безнадзорности и правонарушений несовершеннолетних")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4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семей, признанных находящимися в социально опасном положении н</w:t>
            </w:r>
            <w:r>
              <w:t xml:space="preserve">а основании постановления муниципальной комиссии по делам несовершеннолетних и защите их прав (пункт 2 статьи 5 Федерального закона № 120-ФЗ "Об основах системы профилактики безнадзорности и правонарушений несовершеннолетних")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0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несовершеннолетних, не посещающих или систематически пропускающих по неуважительным причинам занятия в образовательных организациях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3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обучающихся находящихся в различных группах риска по результатам проведения социально-психологического тестирования (далее - СПТ),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7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</w:t>
            </w:r>
            <w:r>
              <w:t xml:space="preserve">в  группе</w:t>
            </w:r>
            <w:r>
              <w:t xml:space="preserve"> риска высочайшей вероятности проявлений рискового (в том числе </w:t>
            </w:r>
            <w:r>
              <w:t xml:space="preserve">аддиктивного</w:t>
            </w:r>
            <w:r>
              <w:t xml:space="preserve">)  поведения (по результатам проведения СПТ)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3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находящихся </w:t>
            </w:r>
            <w:r>
              <w:t xml:space="preserve">в  группе</w:t>
            </w:r>
            <w:r>
              <w:t xml:space="preserve"> риска высокой вероятности проявлений рискового (в том числе </w:t>
            </w:r>
            <w:r>
              <w:t xml:space="preserve">аддиктивного</w:t>
            </w:r>
            <w:r>
              <w:t xml:space="preserve">)  поведения (по результатам проведения СПТ)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совершивших суицидальные попытки (в соответствии с данными учреждений здравоохранения) (за предшествующие 6 месяцев)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5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Учет обучающихся с деструктивным поведением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12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и </w:t>
            </w:r>
            <w:r>
              <w:rPr>
                <w:i/>
                <w:iCs/>
              </w:rPr>
              <w:t xml:space="preserve">достигшие ко времени совершения преступления возраста, с которого наступает уголовная ответственность (14 лет, 16 лет)</w:t>
            </w:r>
            <w:r>
              <w:t xml:space="preserve">, в соответствии с Уголовным кодексом Российской Федерации,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8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преступления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5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преступления, </w:t>
            </w:r>
            <w:r>
              <w:rPr>
                <w:i/>
                <w:iCs/>
              </w:rPr>
              <w:t xml:space="preserve">достигшие ко времени совершения преступления возраста, с которого наступает уголовная ответственность (14 лет, 16 лет),</w:t>
            </w:r>
            <w:r>
              <w:t xml:space="preserve"> в соответствии с Уголовным кодексом Российской Федерации, </w:t>
            </w:r>
            <w:r>
              <w:rPr>
                <w:i/>
                <w:iCs/>
              </w:rPr>
              <w:t xml:space="preserve">в период проведения с ними индивидуальной профилактической работы</w:t>
            </w:r>
            <w:r>
              <w:t xml:space="preserve"> (далее – ИПР)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5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5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преступления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5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преступления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5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деяния, </w:t>
            </w:r>
            <w:r>
              <w:rPr>
                <w:i/>
                <w:iCs/>
              </w:rPr>
              <w:t xml:space="preserve">не достигшие ко времени совершения преступления возраста, с которого наступает уголовная ответственность (14 лет, 16 лет</w:t>
            </w:r>
            <w:r>
              <w:t xml:space="preserve">), в соответствии с Уголовным кодексом Российской Федерации (согласовывается с территориальным УМВД, </w:t>
            </w:r>
            <w:r>
              <w:t xml:space="preserve">КНиЗП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0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7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2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общественно опасные деяния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16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деяния, </w:t>
            </w:r>
            <w:r>
              <w:rPr>
                <w:i/>
                <w:iCs/>
              </w:rPr>
              <w:t xml:space="preserve">не достигшие ко времени совершения преступления возраста, с которого наступает уголовная ответственность (14 лет, 16 лет</w:t>
            </w:r>
            <w:r>
              <w:t xml:space="preserve">), в соответствии с Уголовным кодексом Российской Федерации, в период проведения ИПР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2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9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общественно опасные деяния в соответствии со ст. 228 Уголовного кодекса Российской Федерации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общественно опасные деяния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9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достигших ко времени совершения административного правонарушения возраста, с которого наступает административная ответственность (16 лет)</w:t>
            </w:r>
            <w:r>
              <w:t xml:space="preserve">, 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4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1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5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54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достигших ко времени совершения административного правонарушения возраста, с которого наступает административная ответственность (16 лет), </w:t>
            </w:r>
            <w:r>
              <w:t xml:space="preserve">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</w:t>
            </w:r>
            <w:r>
              <w:rPr>
                <w:i/>
                <w:iCs/>
              </w:rPr>
              <w:t xml:space="preserve">в период проведения </w:t>
            </w:r>
            <w:r>
              <w:rPr>
                <w:i/>
                <w:iCs/>
              </w:rPr>
              <w:t xml:space="preserve">ИПР</w:t>
            </w:r>
            <w:r>
              <w:t xml:space="preserve">,  из</w:t>
            </w:r>
            <w:r>
              <w:t xml:space="preserve">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4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9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12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не достигших ко времени совершения административного правонарушения возраста, с которого наступает административная ответственность (16 лет</w:t>
            </w:r>
            <w:r>
              <w:t xml:space="preserve">), в соответствии с Кодексом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9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4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4.7.3.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53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правонарушения, </w:t>
            </w:r>
            <w:r>
              <w:rPr>
                <w:i/>
                <w:iCs/>
              </w:rPr>
              <w:t xml:space="preserve">не достигших ко времени совершения административного правонарушения возраста, с которого наступает административная ответственность (16 лет</w:t>
            </w:r>
            <w:r>
              <w:t xml:space="preserve">), в соответствии с Кодексом Российской Федерации об административных правонарушениях (согласовывается с территориальным УМВД), </w:t>
            </w:r>
            <w:r>
              <w:rPr>
                <w:i/>
                <w:iCs/>
              </w:rPr>
              <w:t xml:space="preserve">в период проведения </w:t>
            </w:r>
            <w:r>
              <w:rPr>
                <w:i/>
                <w:iCs/>
              </w:rPr>
              <w:t xml:space="preserve">ИПР</w:t>
            </w:r>
            <w:r>
              <w:t xml:space="preserve">,  из</w:t>
            </w:r>
            <w:r>
              <w:t xml:space="preserve">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административные правонарушения соответствии со ст. 6.8. Кодекса Российской Федерации об административных правонарушениях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совершивших иные административные правонарушения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08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ОВЗ, совершивших административные правонарушения, общественно опасные деяния, преступления, но </w:t>
            </w:r>
            <w:r>
              <w:rPr>
                <w:i/>
                <w:iCs/>
              </w:rPr>
              <w:t xml:space="preserve">вследствие отставания в психическом развитии, не подлежащих ответственности</w:t>
            </w:r>
            <w:r>
              <w:t xml:space="preserve"> (согласовывается с территориальным УМВД, </w:t>
            </w:r>
            <w:r>
              <w:t xml:space="preserve">КДНиЗП</w:t>
            </w:r>
            <w:r>
              <w:t xml:space="preserve">),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83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4.9.1.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 с ОВЗ, совершивших административные правонарушения, общественно опасные деяния, преступления, в том числе экстремистской и террористической направленности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/>
            <w:bookmarkStart w:id="0" w:name="undefined"/>
            <w:r>
              <w:t xml:space="preserve">Количество несовершеннолетних, совершивших самовольные уходы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bookmarkEnd w:id="0"/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состоящих на учете в ПДН УМВД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6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снятых с учета в ПДН УМВД (согласовывается с территориальным УМВД, </w:t>
            </w:r>
            <w:r>
              <w:t xml:space="preserve">КДНиЗП</w:t>
            </w:r>
            <w:r>
              <w:t xml:space="preserve">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7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обучающихся, состоящих в образовательной </w:t>
            </w:r>
            <w:r>
              <w:t xml:space="preserve">организации  на</w:t>
            </w:r>
            <w:r>
              <w:t xml:space="preserve"> учете отдельных категорий несовершеннолетних,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26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состоящих на учете отдельных категорий несовершеннолетних (отнесенные к категориям лиц, пре</w:t>
            </w:r>
            <w:r>
              <w:t xml:space="preserve">дусмотренным пунктом 1 статьи 5 Федерального закона № 120-ФЗ "Об основах системы профилактики безнадзорности и правонарушений несовершеннолетних", в отношении которых органы и учреждения системы профилактики проводят индивидуальную профилактическую работу)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158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</w:t>
            </w:r>
            <w:r>
              <w:rPr>
                <w:b/>
                <w:bCs/>
                <w:i/>
                <w:iCs/>
              </w:rPr>
              <w:t xml:space="preserve">поставленных на учет отдельных категорий несовершеннолетних, </w:t>
            </w:r>
            <w:r>
              <w:t xml:space="preserve">с согласия руководителя образовательной организации, нуждающиеся в социально-педагогической реабилитации, оказании иных</w:t>
            </w:r>
            <w:r>
              <w:t xml:space="preserve"> видов помощи, организации с ними работы по предупреждению совершения ими правонарушений  и (или) антиобщественных действий (пункт 3 статьи 5 Федерального закона № 120-ФЗ "Об основах системы профилактики безнадзорности и правонарушений несовершеннолетних")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4.14.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обучающихся, в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</w:t>
            </w:r>
            <w:r>
              <w:rPr>
                <w:b/>
                <w:bCs/>
              </w:rPr>
              <w:t xml:space="preserve">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чел.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55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</w:t>
            </w:r>
            <w:r>
              <w:t xml:space="preserve">обучающихся,  в</w:t>
            </w:r>
            <w:r>
              <w:t xml:space="preserve">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  в связи с улучшением ситуации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56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4.14.2.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</w:t>
            </w:r>
            <w:r>
              <w:t xml:space="preserve">обучающихся,  в</w:t>
            </w:r>
            <w:r>
              <w:t xml:space="preserve"> отношении которых </w:t>
            </w:r>
            <w:r>
              <w:rPr>
                <w:b/>
                <w:bCs/>
                <w:i/>
                <w:iCs/>
              </w:rPr>
              <w:t xml:space="preserve">прекращена индивидуальная профилактическая работа по иным обстоятельствам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Фактическое количество обучающихся, поставленных на профилактические учеты (ПДН УМВД, учет отдельных категорий несовершеннолетних в образовательной организации) </w:t>
            </w:r>
            <w:r>
              <w:rPr>
                <w:i/>
                <w:iCs/>
              </w:rPr>
              <w:t xml:space="preserve">(1 человек, поставленный на несколько учетов, учитывается 1 раз)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чел.</w:t>
            </w:r>
            <w:r/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выявленных деструктивных аккаунтов обучающихся в социальных сетях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профилактике деструктивного поведения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</w:tr>
      <w:tr>
        <w:trPr>
          <w:trHeight w:val="7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реализуемых программ и планов мероприятий по противодействию деструктивным проявлениям в поведении обучающихся, из них: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ед.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20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22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образовательной организацией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6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обучающихся, участвующих в реализации программ и планов мероприятий по противодействию деструктивным проявлениям в поведении обучающихся, от общего количества обучающихся (в рамках первичной профилактики)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%</w:t>
            </w:r>
            <w:r/>
          </w:p>
        </w:tc>
      </w:tr>
      <w:tr>
        <w:trPr>
          <w:trHeight w:val="124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обучающихся, охваченных </w:t>
            </w:r>
            <w:r>
              <w:rPr>
                <w:b/>
                <w:bCs/>
                <w:i/>
                <w:iCs/>
              </w:rPr>
              <w:t xml:space="preserve">индивидуальными профилактическими мероприятиями</w:t>
            </w:r>
            <w:r>
              <w:t xml:space="preserve">, осуществляемыми обр</w:t>
            </w:r>
            <w:r>
              <w:t xml:space="preserve">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 (в рамках вторичной и третичной профилактике)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97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Наличие в образовательной организации специализированного инструментария (диагностики, маркеры (критерии, индикаторы для осуществления наблюдения) для выявления деструктивных проявлений в поведении обучающихся, дополнительно к СПТ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по проведению информационно-разъяснительной работы с родителями (законными представителями) обучающихся по вопросам профилактики деструктивного поведения (семинары, тренинги, иное)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0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детей, родители которых принимали участие в информационно-разъяснительной работе по вопросам профилактики деструктивного поведения от общего количества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%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0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 по повышению компетенций педагогического коллектива по вопросам профилактики деструктивного поведения обучающихся (семинары, тренинги, иное)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98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Доля педагогов, принимавших участие в мероприятиях по повышению компетенций педагогического коллектива по вопросам профилактики деструктивного поведения обучающихся (семинары, тренинги, иное) от общего количества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%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5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реализуемых программ по половому просвещению и воспитанию, из них: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8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на муниципальном/региональном уровнях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1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5.9.2.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разработанных образовательной организацией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9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5.10.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мероприятий по половому просвещению и воспитанию для обучающихся и родителей (законных представителей),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15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1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5.10.3.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педагогов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4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к реализации программ по половому просвещению и воспитанию: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2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42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5.11.9.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5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профилактике суицидального поведения у несовершеннолетних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18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6.1.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проведенных профилактических мероприятий, направленных на формирование у несовершеннолетних позитивного мышления, ценностного отношения к жизни, основ </w:t>
            </w:r>
            <w:r>
              <w:rPr>
                <w:b/>
                <w:bCs/>
              </w:rPr>
              <w:t xml:space="preserve">ассертивного</w:t>
            </w:r>
            <w:r>
              <w:rPr>
                <w:b/>
                <w:bCs/>
              </w:rPr>
              <w:t xml:space="preserve"> и законопослушного поведения (первичный уровень профилактики),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2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8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33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Общее количество проведенных проф</w:t>
            </w:r>
            <w:r>
              <w:rPr>
                <w:b/>
                <w:bCs/>
              </w:rPr>
              <w:t xml:space="preserve">илактических мероприятий, направленных на обучение участников образовательных отношений навыкам преодоления тревожных состояний, стресса (в том числе учебного), стабилизации эмоционального состояния и саморегуляции (первичный уровень профилактики), из них: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33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8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представителей),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1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1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проведенных профилактических мероприятий с родителями (законными представителями) обучающихся по вопросам формирования эффективных детско-родительских отношений, развитию навыков бесконфликтного общения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84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индивидуальных планов психолого-педагогического сопровождения (далее - ИППС) обучающихся, выявленных в ходе мониторингов, диагностических мероприятий, как нуждающихся в организации психолого-педагогического сопровождения, в том числе: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сформированных в рамках вторичной и третичной профилактики </w:t>
            </w:r>
            <w:r>
              <w:t xml:space="preserve">сам</w:t>
            </w:r>
            <w:r>
              <w:t xml:space="preserve">о</w:t>
            </w:r>
            <w:r>
              <w:t xml:space="preserve">повреждающего</w:t>
            </w:r>
            <w:r>
              <w:t xml:space="preserve">, в том числе суицидального поведения несовершеннолетних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98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6.5.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профилактических мероприятий для участников образовательных отношений в рамках вторичной </w:t>
            </w:r>
            <w:r>
              <w:rPr>
                <w:b/>
                <w:bCs/>
              </w:rPr>
              <w:t xml:space="preserve">профилактики  </w:t>
            </w:r>
            <w:r>
              <w:rPr>
                <w:b/>
                <w:bCs/>
              </w:rPr>
              <w:t xml:space="preserve">аутодеструктивного</w:t>
            </w:r>
            <w:r>
              <w:rPr>
                <w:b/>
                <w:bCs/>
              </w:rPr>
              <w:t xml:space="preserve">, в том числе суицидального поведения несовершеннолетних, из них: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2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7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представителей),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269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для педагогического коллектива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9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6.6.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</w:t>
            </w:r>
            <w:r>
              <w:rPr>
                <w:b/>
                <w:bCs/>
              </w:rPr>
              <w:t xml:space="preserve">к  профилактической</w:t>
            </w:r>
            <w:r>
              <w:rPr>
                <w:b/>
                <w:bCs/>
              </w:rPr>
              <w:t xml:space="preserve"> работе в рамках вторичного этапа профилактики суицидального поведения несовершеннолетних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ИППС, сформированных в рамках третичной профилактики суицидального поведения несовершеннолетних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ед.</w:t>
            </w:r>
            <w:r/>
          </w:p>
        </w:tc>
      </w:tr>
      <w:tr>
        <w:trPr>
          <w:trHeight w:val="9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6.8.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специалистах, привлеченных </w:t>
            </w:r>
            <w:r>
              <w:rPr>
                <w:b/>
                <w:bCs/>
              </w:rPr>
              <w:t xml:space="preserve">к  профилактической</w:t>
            </w:r>
            <w:r>
              <w:rPr>
                <w:b/>
                <w:bCs/>
              </w:rPr>
              <w:t xml:space="preserve"> работе в рамках третичного этапа профилактики </w:t>
            </w:r>
            <w:r>
              <w:rPr>
                <w:b/>
                <w:bCs/>
              </w:rPr>
              <w:t xml:space="preserve">аутодеструктивного</w:t>
            </w:r>
            <w:r>
              <w:rPr>
                <w:b/>
                <w:bCs/>
              </w:rPr>
              <w:t xml:space="preserve"> и суицидального поведения несовершеннолетних, из них (при наличии случаев):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чел.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здравоохранения Ханты-Мансийского автономного округа — Югры 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комиссия по делам несовершеннолетних и защите их прав муниципального образования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учреждение социальной защиты населения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Департамент труда и занятости Ханты-Мансийского автономного округа — Югры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физической культуры и спорта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учреждения культуры Ханты-Мансийского автономного округа — Югры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органы местного самоуправления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Управление МВД России по Ханты-Мансийскому автономному округа — Югре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6.8.9.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иные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правовому просвещению и правовому информированию несовершеннолетних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проведенных мероприятий по правовому просвещению и правовому информированию,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обучающихся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48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для родителей (законных представителей)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67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7.2.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проведенных мероприятий по правовому просвещению и правовому информированию для обучающихся и родителей (законных представителей), в форме: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ед.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лекций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бесед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семинаров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вебинаров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игр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соревнований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8.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Показатели по выявлению случаев </w:t>
            </w:r>
            <w:r>
              <w:rPr>
                <w:b/>
                <w:bCs/>
              </w:rPr>
              <w:t xml:space="preserve">травли</w:t>
            </w:r>
            <w:r>
              <w:rPr>
                <w:b/>
                <w:bCs/>
              </w:rPr>
              <w:t xml:space="preserve"> (за предшествующие 6 месяцев)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 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Общее количество разработанных и реализуемых программ и планов по профилактике травли, из них: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муниципального уровня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 разработанных образовательными организациями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проведенных профилактических мероприятий, направленных на профилактику травли, формирования коммуникативных навыков, навыков бесконфликтного общения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обращений от участников образовательных отношений в психологическую службу образовательной организации по вопросам, касающимся нарушений межличностных отношений, конфликтов, преследования, травли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>
          <w:trHeight w:val="7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420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Количество мероприятий, проведенных специалистами психологической службы по разрешению вопросов касающихся нарушений межличностных отношений, конфликтов, преследования, травли 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1004"/>
        <w:ind w:left="382" w:right="370" w:firstLine="0"/>
        <w:spacing w:after="0" w:line="240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ind w:right="35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even" r:id="rId9"/>
      <w:footnotePr/>
      <w:endnotePr/>
      <w:type w:val="nextPage"/>
      <w:pgSz w:w="11906" w:h="16838" w:orient="portrait"/>
      <w:pgMar w:top="851" w:right="1276" w:bottom="851" w:left="1559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Sylfaen">
    <w:panose1 w:val="010A0502050306030303"/>
  </w:font>
  <w:font w:name="Verdana">
    <w:panose1 w:val="020B060403050404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5"/>
      <w:rPr>
        <w:rStyle w:val="982"/>
      </w:rPr>
      <w:framePr w:wrap="around" w:vAnchor="text" w:hAnchor="margin" w:xAlign="center" w:y="1"/>
    </w:pPr>
    <w:r>
      <w:rPr>
        <w:rStyle w:val="982"/>
      </w:rPr>
      <w:fldChar w:fldCharType="begin"/>
    </w:r>
    <w:r>
      <w:rPr>
        <w:rStyle w:val="982"/>
      </w:rPr>
      <w:instrText xml:space="preserve">PAGE  </w:instrText>
    </w:r>
    <w:r>
      <w:rPr>
        <w:rStyle w:val="982"/>
      </w:rPr>
      <w:fldChar w:fldCharType="end"/>
    </w:r>
    <w:r>
      <w:rPr>
        <w:rStyle w:val="982"/>
      </w:rPr>
    </w:r>
    <w:r>
      <w:rPr>
        <w:rStyle w:val="982"/>
      </w:rPr>
    </w:r>
  </w:p>
  <w:p>
    <w:pPr>
      <w:pStyle w:val="975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2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171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36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012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516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6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164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108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108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108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108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108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108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108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10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21" w:hanging="42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2241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661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441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221" w:hanging="144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641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421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841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621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72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ascii="Times New Roman" w:hAnsi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785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17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21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25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29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33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737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13" w:hanging="1440"/>
      </w:pPr>
    </w:lvl>
  </w:abstractNum>
  <w:abstractNum w:abstractNumId="23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280" w:hanging="720"/>
      </w:pPr>
      <w:rPr>
        <w:rFonts w:hint="default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440"/>
      </w:pPr>
      <w:rPr>
        <w:rFonts w:hint="default"/>
        <w:color w:val="auto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0" w:hanging="630"/>
        <w:tabs>
          <w:tab w:val="num" w:pos="63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6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9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9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0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80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0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1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89" w:hanging="144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8"/>
      </w:rPr>
    </w:lvl>
    <w:lvl w:ilvl="1">
      <w:start w:val="1"/>
      <w:numFmt w:val="decimal"/>
      <w:isLgl/>
      <w:suff w:val="tab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eastAsia="Sylfae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bCs/>
        <w:color w:val="262626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 w:val="0"/>
        <w:bCs w:val="0"/>
        <w:color w:val="262626"/>
      </w:rPr>
    </w:lvl>
    <w:lvl w:ilvl="1">
      <w:start w:val="1"/>
      <w:numFmt w:val="decimal"/>
      <w:isLgl/>
      <w:suff w:val="tab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 w:val="0"/>
        <w:bCs w:val="0"/>
        <w:color w:val="262626"/>
      </w:rPr>
    </w:lvl>
    <w:lvl w:ilvl="1">
      <w:start w:val="1"/>
      <w:numFmt w:val="decimal"/>
      <w:isLgl/>
      <w:suff w:val="tab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3">
    <w:multiLevelType w:val="hybridMultilevel"/>
    <w:styleLink w:val="1005"/>
    <w:lvl w:ilvl="0">
      <w:start w:val="1"/>
      <w:numFmt w:val="decimal"/>
      <w:isLgl w:val="false"/>
      <w:suff w:val="tab"/>
      <w:lvlText w:val="%1."/>
      <w:lvlJc w:val="left"/>
      <w:pPr/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isLgl w:val="false"/>
      <w:suff w:val="tab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isLgl w:val="false"/>
      <w:suff w:val="tab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isLgl w:val="false"/>
      <w:suff w:val="tab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isLgl w:val="false"/>
      <w:suff w:val="tab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isLgl w:val="false"/>
      <w:suff w:val="tab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</w:abstractNum>
  <w:num w:numId="1">
    <w:abstractNumId w:val="24"/>
  </w:num>
  <w:num w:numId="2">
    <w:abstractNumId w:val="5"/>
  </w:num>
  <w:num w:numId="3">
    <w:abstractNumId w:val="39"/>
  </w:num>
  <w:num w:numId="4">
    <w:abstractNumId w:val="38"/>
  </w:num>
  <w:num w:numId="5">
    <w:abstractNumId w:val="17"/>
  </w:num>
  <w:num w:numId="6">
    <w:abstractNumId w:val="4"/>
  </w:num>
  <w:num w:numId="7">
    <w:abstractNumId w:val="6"/>
  </w:num>
  <w:num w:numId="8">
    <w:abstractNumId w:val="8"/>
  </w:num>
  <w:num w:numId="9">
    <w:abstractNumId w:val="15"/>
  </w:num>
  <w:num w:numId="10">
    <w:abstractNumId w:val="31"/>
  </w:num>
  <w:num w:numId="11">
    <w:abstractNumId w:val="1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35"/>
  </w:num>
  <w:num w:numId="22">
    <w:abstractNumId w:val="14"/>
  </w:num>
  <w:num w:numId="23">
    <w:abstractNumId w:val="29"/>
  </w:num>
  <w:num w:numId="24">
    <w:abstractNumId w:val="25"/>
  </w:num>
  <w:num w:numId="25">
    <w:abstractNumId w:val="2"/>
  </w:num>
  <w:num w:numId="26">
    <w:abstractNumId w:val="32"/>
  </w:num>
  <w:num w:numId="27">
    <w:abstractNumId w:val="27"/>
  </w:num>
  <w:num w:numId="28">
    <w:abstractNumId w:val="18"/>
  </w:num>
  <w:num w:numId="29">
    <w:abstractNumId w:val="40"/>
  </w:num>
  <w:num w:numId="30">
    <w:abstractNumId w:val="19"/>
  </w:num>
  <w:num w:numId="31">
    <w:abstractNumId w:val="26"/>
  </w:num>
  <w:num w:numId="32">
    <w:abstractNumId w:val="12"/>
  </w:num>
  <w:num w:numId="33">
    <w:abstractNumId w:val="0"/>
  </w:num>
  <w:num w:numId="34">
    <w:abstractNumId w:val="10"/>
  </w:num>
  <w:num w:numId="35">
    <w:abstractNumId w:val="36"/>
  </w:num>
  <w:num w:numId="36">
    <w:abstractNumId w:val="22"/>
  </w:num>
  <w:num w:numId="37">
    <w:abstractNumId w:val="30"/>
  </w:num>
  <w:num w:numId="38">
    <w:abstractNumId w:val="20"/>
  </w:num>
  <w:num w:numId="39">
    <w:abstractNumId w:val="1"/>
  </w:num>
  <w:num w:numId="40">
    <w:abstractNumId w:val="16"/>
  </w:num>
  <w:num w:numId="41">
    <w:abstractNumId w:val="21"/>
  </w:num>
  <w:num w:numId="42">
    <w:abstractNumId w:val="23"/>
  </w:num>
  <w:num w:numId="43">
    <w:abstractNumId w:val="33"/>
  </w:num>
  <w:num w:numId="44">
    <w:abstractNumId w:val="42"/>
  </w:num>
  <w:num w:numId="45">
    <w:abstractNumId w:val="43"/>
  </w:num>
  <w:num w:numId="46">
    <w:abstractNumId w:val="44"/>
  </w:num>
  <w:num w:numId="47">
    <w:abstractNumId w:val="45"/>
  </w:num>
  <w:num w:numId="48">
    <w:abstractNumId w:val="46"/>
  </w:num>
  <w:num w:numId="49">
    <w:abstractNumId w:val="47"/>
  </w:num>
  <w:num w:numId="50">
    <w:abstractNumId w:val="48"/>
  </w:num>
  <w:num w:numId="51">
    <w:abstractNumId w:val="49"/>
  </w:num>
  <w:num w:numId="52">
    <w:abstractNumId w:val="50"/>
  </w:num>
  <w:num w:numId="53">
    <w:abstractNumId w:val="51"/>
  </w:num>
  <w:num w:numId="54">
    <w:abstractNumId w:val="52"/>
  </w:num>
  <w:num w:numId="55">
    <w:abstractNumId w:val="5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1">
    <w:name w:val="Heading 1 Char"/>
    <w:basedOn w:val="954"/>
    <w:link w:val="948"/>
    <w:uiPriority w:val="9"/>
    <w:rPr>
      <w:rFonts w:ascii="Arial" w:hAnsi="Arial" w:eastAsia="Arial" w:cs="Arial"/>
      <w:sz w:val="40"/>
      <w:szCs w:val="40"/>
    </w:rPr>
  </w:style>
  <w:style w:type="character" w:styleId="782">
    <w:name w:val="Heading 2 Char"/>
    <w:basedOn w:val="954"/>
    <w:link w:val="949"/>
    <w:uiPriority w:val="9"/>
    <w:rPr>
      <w:rFonts w:ascii="Arial" w:hAnsi="Arial" w:eastAsia="Arial" w:cs="Arial"/>
      <w:sz w:val="34"/>
    </w:rPr>
  </w:style>
  <w:style w:type="character" w:styleId="783">
    <w:name w:val="Heading 3 Char"/>
    <w:basedOn w:val="954"/>
    <w:link w:val="950"/>
    <w:uiPriority w:val="9"/>
    <w:rPr>
      <w:rFonts w:ascii="Arial" w:hAnsi="Arial" w:eastAsia="Arial" w:cs="Arial"/>
      <w:sz w:val="30"/>
      <w:szCs w:val="30"/>
    </w:rPr>
  </w:style>
  <w:style w:type="character" w:styleId="784">
    <w:name w:val="Heading 4 Char"/>
    <w:basedOn w:val="954"/>
    <w:link w:val="951"/>
    <w:uiPriority w:val="9"/>
    <w:rPr>
      <w:rFonts w:ascii="Arial" w:hAnsi="Arial" w:eastAsia="Arial" w:cs="Arial"/>
      <w:b/>
      <w:bCs/>
      <w:sz w:val="26"/>
      <w:szCs w:val="26"/>
    </w:rPr>
  </w:style>
  <w:style w:type="character" w:styleId="785">
    <w:name w:val="Heading 5 Char"/>
    <w:basedOn w:val="954"/>
    <w:link w:val="952"/>
    <w:uiPriority w:val="9"/>
    <w:rPr>
      <w:rFonts w:ascii="Arial" w:hAnsi="Arial" w:eastAsia="Arial" w:cs="Arial"/>
      <w:b/>
      <w:bCs/>
      <w:sz w:val="24"/>
      <w:szCs w:val="24"/>
    </w:rPr>
  </w:style>
  <w:style w:type="paragraph" w:styleId="786">
    <w:name w:val="Heading 6"/>
    <w:basedOn w:val="947"/>
    <w:next w:val="947"/>
    <w:link w:val="7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7">
    <w:name w:val="Heading 6 Char"/>
    <w:basedOn w:val="954"/>
    <w:link w:val="786"/>
    <w:uiPriority w:val="9"/>
    <w:rPr>
      <w:rFonts w:ascii="Arial" w:hAnsi="Arial" w:eastAsia="Arial" w:cs="Arial"/>
      <w:b/>
      <w:bCs/>
      <w:sz w:val="22"/>
      <w:szCs w:val="22"/>
    </w:rPr>
  </w:style>
  <w:style w:type="character" w:styleId="788">
    <w:name w:val="Heading 7 Char"/>
    <w:basedOn w:val="954"/>
    <w:link w:val="95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9">
    <w:name w:val="Heading 8"/>
    <w:basedOn w:val="947"/>
    <w:next w:val="947"/>
    <w:link w:val="7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0">
    <w:name w:val="Heading 8 Char"/>
    <w:basedOn w:val="954"/>
    <w:link w:val="789"/>
    <w:uiPriority w:val="9"/>
    <w:rPr>
      <w:rFonts w:ascii="Arial" w:hAnsi="Arial" w:eastAsia="Arial" w:cs="Arial"/>
      <w:i/>
      <w:iCs/>
      <w:sz w:val="22"/>
      <w:szCs w:val="22"/>
    </w:rPr>
  </w:style>
  <w:style w:type="paragraph" w:styleId="791">
    <w:name w:val="Heading 9"/>
    <w:basedOn w:val="947"/>
    <w:next w:val="947"/>
    <w:link w:val="7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2">
    <w:name w:val="Heading 9 Char"/>
    <w:basedOn w:val="954"/>
    <w:link w:val="791"/>
    <w:uiPriority w:val="9"/>
    <w:rPr>
      <w:rFonts w:ascii="Arial" w:hAnsi="Arial" w:eastAsia="Arial" w:cs="Arial"/>
      <w:i/>
      <w:iCs/>
      <w:sz w:val="21"/>
      <w:szCs w:val="21"/>
    </w:rPr>
  </w:style>
  <w:style w:type="paragraph" w:styleId="793">
    <w:name w:val="No Spacing"/>
    <w:uiPriority w:val="1"/>
    <w:qFormat/>
    <w:pPr>
      <w:spacing w:before="0" w:after="0" w:line="240" w:lineRule="auto"/>
    </w:pPr>
  </w:style>
  <w:style w:type="character" w:styleId="794">
    <w:name w:val="Title Char"/>
    <w:basedOn w:val="954"/>
    <w:link w:val="969"/>
    <w:uiPriority w:val="10"/>
    <w:rPr>
      <w:sz w:val="48"/>
      <w:szCs w:val="48"/>
    </w:rPr>
  </w:style>
  <w:style w:type="paragraph" w:styleId="795">
    <w:name w:val="Subtitle"/>
    <w:basedOn w:val="947"/>
    <w:next w:val="947"/>
    <w:link w:val="796"/>
    <w:uiPriority w:val="11"/>
    <w:qFormat/>
    <w:pPr>
      <w:spacing w:before="200" w:after="200"/>
    </w:pPr>
    <w:rPr>
      <w:sz w:val="24"/>
      <w:szCs w:val="24"/>
    </w:rPr>
  </w:style>
  <w:style w:type="character" w:styleId="796">
    <w:name w:val="Subtitle Char"/>
    <w:basedOn w:val="954"/>
    <w:link w:val="795"/>
    <w:uiPriority w:val="11"/>
    <w:rPr>
      <w:sz w:val="24"/>
      <w:szCs w:val="24"/>
    </w:rPr>
  </w:style>
  <w:style w:type="paragraph" w:styleId="797">
    <w:name w:val="Quote"/>
    <w:basedOn w:val="947"/>
    <w:next w:val="947"/>
    <w:link w:val="798"/>
    <w:uiPriority w:val="29"/>
    <w:qFormat/>
    <w:pPr>
      <w:ind w:left="720" w:right="720"/>
    </w:pPr>
    <w:rPr>
      <w:i/>
    </w:rPr>
  </w:style>
  <w:style w:type="character" w:styleId="798">
    <w:name w:val="Quote Char"/>
    <w:link w:val="797"/>
    <w:uiPriority w:val="29"/>
    <w:rPr>
      <w:i/>
    </w:rPr>
  </w:style>
  <w:style w:type="paragraph" w:styleId="799">
    <w:name w:val="Intense Quote"/>
    <w:basedOn w:val="947"/>
    <w:next w:val="947"/>
    <w:link w:val="80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0">
    <w:name w:val="Intense Quote Char"/>
    <w:link w:val="799"/>
    <w:uiPriority w:val="30"/>
    <w:rPr>
      <w:i/>
    </w:rPr>
  </w:style>
  <w:style w:type="character" w:styleId="801">
    <w:name w:val="Header Char"/>
    <w:basedOn w:val="954"/>
    <w:link w:val="975"/>
    <w:uiPriority w:val="99"/>
  </w:style>
  <w:style w:type="character" w:styleId="802">
    <w:name w:val="Footer Char"/>
    <w:basedOn w:val="954"/>
    <w:link w:val="976"/>
    <w:uiPriority w:val="99"/>
  </w:style>
  <w:style w:type="paragraph" w:styleId="803">
    <w:name w:val="Caption"/>
    <w:basedOn w:val="947"/>
    <w:next w:val="9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4">
    <w:name w:val="Caption Char"/>
    <w:basedOn w:val="803"/>
    <w:link w:val="976"/>
    <w:uiPriority w:val="99"/>
  </w:style>
  <w:style w:type="table" w:styleId="805">
    <w:name w:val="Table Grid Light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>
    <w:name w:val="Plain Table 1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7">
    <w:name w:val="Plain Table 2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>
    <w:name w:val="Plain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9">
    <w:name w:val="Plain Table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Plain Table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1">
    <w:name w:val="Grid Table 1 Light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4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3">
    <w:name w:val="Grid Table 4 - Accent 1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4">
    <w:name w:val="Grid Table 4 - Accent 2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5">
    <w:name w:val="Grid Table 4 - Accent 3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6">
    <w:name w:val="Grid Table 4 - Accent 4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7">
    <w:name w:val="Grid Table 4 - Accent 5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8">
    <w:name w:val="Grid Table 4 - Accent 6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9">
    <w:name w:val="Grid Table 5 Dark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0">
    <w:name w:val="Grid Table 5 Dark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43">
    <w:name w:val="Grid Table 5 Dark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46">
    <w:name w:val="Grid Table 6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7">
    <w:name w:val="Grid Table 6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8">
    <w:name w:val="Grid Table 6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9">
    <w:name w:val="Grid Table 6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0">
    <w:name w:val="Grid Table 6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1">
    <w:name w:val="Grid Table 6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2">
    <w:name w:val="Grid Table 6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3">
    <w:name w:val="Grid Table 7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8">
    <w:name w:val="List Table 2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9">
    <w:name w:val="List Table 2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0">
    <w:name w:val="List Table 2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1">
    <w:name w:val="List Table 2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2">
    <w:name w:val="List Table 2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3">
    <w:name w:val="List Table 2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4">
    <w:name w:val="List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5 Dark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6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6">
    <w:name w:val="List Table 6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7">
    <w:name w:val="List Table 6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8">
    <w:name w:val="List Table 6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9">
    <w:name w:val="List Table 6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0">
    <w:name w:val="List Table 6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1">
    <w:name w:val="List Table 6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2">
    <w:name w:val="List Table 7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3">
    <w:name w:val="List Table 7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04">
    <w:name w:val="List Table 7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05">
    <w:name w:val="List Table 7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06">
    <w:name w:val="List Table 7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7">
    <w:name w:val="List Table 7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8">
    <w:name w:val="List Table 7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9">
    <w:name w:val="Lined - Accent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0">
    <w:name w:val="Lined - Accent 1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1">
    <w:name w:val="Lined - Accent 2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2">
    <w:name w:val="Lined - Accent 3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3">
    <w:name w:val="Lined - Accent 4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4">
    <w:name w:val="Lined - Accent 5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5">
    <w:name w:val="Lined - Accent 6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6">
    <w:name w:val="Bordered &amp; Lined - Accent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7">
    <w:name w:val="Bordered &amp; Lined - Accent 1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8">
    <w:name w:val="Bordered &amp; Lined - Accent 2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9">
    <w:name w:val="Bordered &amp; Lined - Accent 3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20">
    <w:name w:val="Bordered &amp; Lined - Accent 4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1">
    <w:name w:val="Bordered &amp; Lined - Accent 5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22">
    <w:name w:val="Bordered &amp; Lined - Accent 6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3">
    <w:name w:val="Bordered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4">
    <w:name w:val="Bordered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5">
    <w:name w:val="Bordered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6">
    <w:name w:val="Bordered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7">
    <w:name w:val="Bordered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8">
    <w:name w:val="Bordered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9">
    <w:name w:val="Bordered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0">
    <w:name w:val="footnote text"/>
    <w:basedOn w:val="947"/>
    <w:link w:val="931"/>
    <w:uiPriority w:val="99"/>
    <w:semiHidden/>
    <w:unhideWhenUsed/>
    <w:pPr>
      <w:spacing w:after="40" w:line="240" w:lineRule="auto"/>
    </w:pPr>
    <w:rPr>
      <w:sz w:val="18"/>
    </w:rPr>
  </w:style>
  <w:style w:type="character" w:styleId="931">
    <w:name w:val="Footnote Text Char"/>
    <w:link w:val="930"/>
    <w:uiPriority w:val="99"/>
    <w:rPr>
      <w:sz w:val="18"/>
    </w:rPr>
  </w:style>
  <w:style w:type="character" w:styleId="932">
    <w:name w:val="footnote reference"/>
    <w:basedOn w:val="954"/>
    <w:uiPriority w:val="99"/>
    <w:unhideWhenUsed/>
    <w:rPr>
      <w:vertAlign w:val="superscript"/>
    </w:rPr>
  </w:style>
  <w:style w:type="paragraph" w:styleId="933">
    <w:name w:val="endnote text"/>
    <w:basedOn w:val="947"/>
    <w:link w:val="934"/>
    <w:uiPriority w:val="99"/>
    <w:semiHidden/>
    <w:unhideWhenUsed/>
    <w:pPr>
      <w:spacing w:after="0" w:line="240" w:lineRule="auto"/>
    </w:pPr>
    <w:rPr>
      <w:sz w:val="20"/>
    </w:rPr>
  </w:style>
  <w:style w:type="character" w:styleId="934">
    <w:name w:val="Endnote Text Char"/>
    <w:link w:val="933"/>
    <w:uiPriority w:val="99"/>
    <w:rPr>
      <w:sz w:val="20"/>
    </w:rPr>
  </w:style>
  <w:style w:type="character" w:styleId="935">
    <w:name w:val="endnote reference"/>
    <w:basedOn w:val="954"/>
    <w:uiPriority w:val="99"/>
    <w:semiHidden/>
    <w:unhideWhenUsed/>
    <w:rPr>
      <w:vertAlign w:val="superscript"/>
    </w:rPr>
  </w:style>
  <w:style w:type="paragraph" w:styleId="936">
    <w:name w:val="toc 1"/>
    <w:basedOn w:val="947"/>
    <w:next w:val="947"/>
    <w:uiPriority w:val="39"/>
    <w:unhideWhenUsed/>
    <w:pPr>
      <w:ind w:left="0" w:right="0" w:firstLine="0"/>
      <w:spacing w:after="57"/>
    </w:pPr>
  </w:style>
  <w:style w:type="paragraph" w:styleId="937">
    <w:name w:val="toc 2"/>
    <w:basedOn w:val="947"/>
    <w:next w:val="947"/>
    <w:uiPriority w:val="39"/>
    <w:unhideWhenUsed/>
    <w:pPr>
      <w:ind w:left="283" w:right="0" w:firstLine="0"/>
      <w:spacing w:after="57"/>
    </w:pPr>
  </w:style>
  <w:style w:type="paragraph" w:styleId="938">
    <w:name w:val="toc 3"/>
    <w:basedOn w:val="947"/>
    <w:next w:val="947"/>
    <w:uiPriority w:val="39"/>
    <w:unhideWhenUsed/>
    <w:pPr>
      <w:ind w:left="567" w:right="0" w:firstLine="0"/>
      <w:spacing w:after="57"/>
    </w:pPr>
  </w:style>
  <w:style w:type="paragraph" w:styleId="939">
    <w:name w:val="toc 4"/>
    <w:basedOn w:val="947"/>
    <w:next w:val="947"/>
    <w:uiPriority w:val="39"/>
    <w:unhideWhenUsed/>
    <w:pPr>
      <w:ind w:left="850" w:right="0" w:firstLine="0"/>
      <w:spacing w:after="57"/>
    </w:pPr>
  </w:style>
  <w:style w:type="paragraph" w:styleId="940">
    <w:name w:val="toc 5"/>
    <w:basedOn w:val="947"/>
    <w:next w:val="947"/>
    <w:uiPriority w:val="39"/>
    <w:unhideWhenUsed/>
    <w:pPr>
      <w:ind w:left="1134" w:right="0" w:firstLine="0"/>
      <w:spacing w:after="57"/>
    </w:pPr>
  </w:style>
  <w:style w:type="paragraph" w:styleId="941">
    <w:name w:val="toc 6"/>
    <w:basedOn w:val="947"/>
    <w:next w:val="947"/>
    <w:uiPriority w:val="39"/>
    <w:unhideWhenUsed/>
    <w:pPr>
      <w:ind w:left="1417" w:right="0" w:firstLine="0"/>
      <w:spacing w:after="57"/>
    </w:pPr>
  </w:style>
  <w:style w:type="paragraph" w:styleId="942">
    <w:name w:val="toc 7"/>
    <w:basedOn w:val="947"/>
    <w:next w:val="947"/>
    <w:uiPriority w:val="39"/>
    <w:unhideWhenUsed/>
    <w:pPr>
      <w:ind w:left="1701" w:right="0" w:firstLine="0"/>
      <w:spacing w:after="57"/>
    </w:pPr>
  </w:style>
  <w:style w:type="paragraph" w:styleId="943">
    <w:name w:val="toc 8"/>
    <w:basedOn w:val="947"/>
    <w:next w:val="947"/>
    <w:uiPriority w:val="39"/>
    <w:unhideWhenUsed/>
    <w:pPr>
      <w:ind w:left="1984" w:right="0" w:firstLine="0"/>
      <w:spacing w:after="57"/>
    </w:pPr>
  </w:style>
  <w:style w:type="paragraph" w:styleId="944">
    <w:name w:val="toc 9"/>
    <w:basedOn w:val="947"/>
    <w:next w:val="947"/>
    <w:uiPriority w:val="39"/>
    <w:unhideWhenUsed/>
    <w:pPr>
      <w:ind w:left="2268" w:right="0" w:firstLine="0"/>
      <w:spacing w:after="57"/>
    </w:pPr>
  </w:style>
  <w:style w:type="paragraph" w:styleId="945">
    <w:name w:val="TOC Heading"/>
    <w:uiPriority w:val="39"/>
    <w:unhideWhenUsed/>
  </w:style>
  <w:style w:type="paragraph" w:styleId="946">
    <w:name w:val="table of figures"/>
    <w:basedOn w:val="947"/>
    <w:next w:val="947"/>
    <w:uiPriority w:val="99"/>
    <w:unhideWhenUsed/>
    <w:pPr>
      <w:spacing w:after="0" w:afterAutospacing="0"/>
    </w:pPr>
  </w:style>
  <w:style w:type="paragraph" w:styleId="947" w:default="1">
    <w:name w:val="Normal"/>
    <w:qFormat/>
    <w:rPr>
      <w:rFonts w:ascii="Times New Roman" w:hAnsi="Times New Roman" w:eastAsia="Times New Roman"/>
    </w:rPr>
  </w:style>
  <w:style w:type="paragraph" w:styleId="948">
    <w:name w:val="Heading 1"/>
    <w:basedOn w:val="947"/>
    <w:next w:val="947"/>
    <w:link w:val="992"/>
    <w:qFormat/>
    <w:pPr>
      <w:keepNext/>
      <w:outlineLvl w:val="0"/>
    </w:pPr>
    <w:rPr>
      <w:sz w:val="28"/>
      <w:szCs w:val="24"/>
    </w:rPr>
  </w:style>
  <w:style w:type="paragraph" w:styleId="949">
    <w:name w:val="Heading 2"/>
    <w:basedOn w:val="947"/>
    <w:next w:val="947"/>
    <w:link w:val="987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50">
    <w:name w:val="Heading 3"/>
    <w:basedOn w:val="947"/>
    <w:next w:val="947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51">
    <w:name w:val="Heading 4"/>
    <w:basedOn w:val="947"/>
    <w:next w:val="947"/>
    <w:qFormat/>
    <w:pPr>
      <w:keepNext/>
      <w:outlineLvl w:val="3"/>
    </w:pPr>
    <w:rPr>
      <w:b/>
      <w:bCs/>
      <w:sz w:val="28"/>
      <w:szCs w:val="24"/>
    </w:rPr>
  </w:style>
  <w:style w:type="paragraph" w:styleId="952">
    <w:name w:val="Heading 5"/>
    <w:basedOn w:val="947"/>
    <w:next w:val="947"/>
    <w:qFormat/>
    <w:pPr>
      <w:jc w:val="center"/>
      <w:keepNext/>
      <w:outlineLvl w:val="4"/>
    </w:pPr>
    <w:rPr>
      <w:i/>
      <w:sz w:val="24"/>
      <w:szCs w:val="24"/>
    </w:rPr>
  </w:style>
  <w:style w:type="paragraph" w:styleId="953">
    <w:name w:val="Heading 7"/>
    <w:basedOn w:val="947"/>
    <w:next w:val="947"/>
    <w:qFormat/>
    <w:pPr>
      <w:spacing w:before="240" w:after="60"/>
      <w:outlineLvl w:val="6"/>
    </w:pPr>
    <w:rPr>
      <w:sz w:val="24"/>
      <w:szCs w:val="24"/>
    </w:rPr>
  </w:style>
  <w:style w:type="character" w:styleId="954" w:default="1">
    <w:name w:val="Default Paragraph Font"/>
    <w:uiPriority w:val="1"/>
    <w:semiHidden/>
    <w:unhideWhenUsed/>
  </w:style>
  <w:style w:type="table" w:styleId="9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6" w:default="1">
    <w:name w:val="No List"/>
    <w:uiPriority w:val="99"/>
    <w:semiHidden/>
    <w:unhideWhenUsed/>
  </w:style>
  <w:style w:type="paragraph" w:styleId="957">
    <w:name w:val="Balloon Text"/>
    <w:basedOn w:val="947"/>
    <w:link w:val="958"/>
    <w:uiPriority w:val="99"/>
    <w:semiHidden/>
    <w:unhideWhenUsed/>
    <w:rPr>
      <w:rFonts w:ascii="Tahoma" w:hAnsi="Tahoma" w:cs="Tahoma"/>
      <w:sz w:val="16"/>
      <w:szCs w:val="16"/>
    </w:rPr>
  </w:style>
  <w:style w:type="character" w:styleId="958" w:customStyle="1">
    <w:name w:val="Текст выноски Знак"/>
    <w:link w:val="957"/>
    <w:uiPriority w:val="99"/>
    <w:semiHidden/>
    <w:rPr>
      <w:rFonts w:ascii="Tahoma" w:hAnsi="Tahoma" w:cs="Tahoma"/>
      <w:sz w:val="16"/>
      <w:szCs w:val="16"/>
    </w:rPr>
  </w:style>
  <w:style w:type="paragraph" w:styleId="959">
    <w:name w:val="E-mail Signature"/>
    <w:basedOn w:val="947"/>
    <w:link w:val="960"/>
    <w:uiPriority w:val="99"/>
    <w:semiHidden/>
    <w:unhideWhenUsed/>
    <w:rPr>
      <w:rFonts w:ascii="Calibri" w:hAnsi="Calibri"/>
      <w:sz w:val="22"/>
      <w:szCs w:val="22"/>
    </w:rPr>
  </w:style>
  <w:style w:type="character" w:styleId="960" w:customStyle="1">
    <w:name w:val="Электронная подпись Знак"/>
    <w:link w:val="959"/>
    <w:uiPriority w:val="99"/>
    <w:semiHidden/>
    <w:rPr>
      <w:rFonts w:ascii="Calibri" w:hAnsi="Calibri" w:eastAsia="Times New Roman" w:cs="Times New Roman"/>
      <w:lang w:eastAsia="ru-RU"/>
    </w:rPr>
  </w:style>
  <w:style w:type="paragraph" w:styleId="961" w:customStyle="1">
    <w:name w:val="Знак"/>
    <w:basedOn w:val="947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962">
    <w:name w:val="Table Grid"/>
    <w:basedOn w:val="95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63">
    <w:name w:val="Body Text Indent"/>
    <w:basedOn w:val="947"/>
    <w:pPr>
      <w:ind w:left="283"/>
      <w:spacing w:after="120"/>
    </w:pPr>
    <w:rPr>
      <w:sz w:val="24"/>
      <w:szCs w:val="24"/>
    </w:rPr>
  </w:style>
  <w:style w:type="paragraph" w:styleId="964" w:customStyle="1">
    <w:name w:val="ConsPlusNormal"/>
    <w:pPr>
      <w:ind w:firstLine="720"/>
      <w:widowControl w:val="off"/>
    </w:pPr>
    <w:rPr>
      <w:rFonts w:ascii="Arial" w:hAnsi="Arial" w:eastAsia="Times New Roman" w:cs="Arial"/>
    </w:rPr>
  </w:style>
  <w:style w:type="paragraph" w:styleId="965">
    <w:name w:val="List Paragraph"/>
    <w:basedOn w:val="947"/>
    <w:link w:val="994"/>
    <w:uiPriority w:val="34"/>
    <w:qFormat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  <w:style w:type="paragraph" w:styleId="966">
    <w:name w:val="Body Text"/>
    <w:basedOn w:val="947"/>
    <w:link w:val="993"/>
    <w:pPr>
      <w:spacing w:after="120"/>
    </w:pPr>
  </w:style>
  <w:style w:type="character" w:styleId="967">
    <w:name w:val="Hyperlink"/>
    <w:unhideWhenUsed/>
    <w:rPr>
      <w:color w:val="0000ff"/>
      <w:u w:val="single"/>
    </w:rPr>
  </w:style>
  <w:style w:type="character" w:styleId="968">
    <w:name w:val="FollowedHyperlink"/>
    <w:rPr>
      <w:color w:val="800080"/>
      <w:u w:val="single"/>
    </w:rPr>
  </w:style>
  <w:style w:type="paragraph" w:styleId="969">
    <w:name w:val="Title"/>
    <w:basedOn w:val="947"/>
    <w:qFormat/>
    <w:pPr>
      <w:jc w:val="center"/>
    </w:pPr>
    <w:rPr>
      <w:b/>
      <w:sz w:val="24"/>
      <w:szCs w:val="24"/>
    </w:rPr>
  </w:style>
  <w:style w:type="paragraph" w:styleId="970">
    <w:name w:val="Body Text Indent 2"/>
    <w:basedOn w:val="947"/>
    <w:pPr>
      <w:ind w:left="708"/>
      <w:jc w:val="both"/>
    </w:pPr>
    <w:rPr>
      <w:sz w:val="28"/>
      <w:szCs w:val="24"/>
    </w:rPr>
  </w:style>
  <w:style w:type="paragraph" w:styleId="971">
    <w:name w:val="Body Text Indent 3"/>
    <w:basedOn w:val="947"/>
    <w:pPr>
      <w:ind w:left="708" w:firstLine="709"/>
      <w:jc w:val="both"/>
    </w:pPr>
    <w:rPr>
      <w:sz w:val="28"/>
      <w:szCs w:val="24"/>
    </w:rPr>
  </w:style>
  <w:style w:type="paragraph" w:styleId="972">
    <w:name w:val="Body Text 2"/>
    <w:basedOn w:val="947"/>
    <w:pPr>
      <w:jc w:val="center"/>
    </w:pPr>
    <w:rPr>
      <w:bCs/>
      <w:sz w:val="28"/>
      <w:szCs w:val="24"/>
    </w:rPr>
  </w:style>
  <w:style w:type="character" w:styleId="973" w:customStyle="1">
    <w:name w:val="Заголовок 7 Знак"/>
    <w:rPr>
      <w:sz w:val="24"/>
      <w:szCs w:val="24"/>
    </w:rPr>
  </w:style>
  <w:style w:type="paragraph" w:styleId="974">
    <w:name w:val="Body Text 3"/>
    <w:basedOn w:val="947"/>
    <w:rPr>
      <w:sz w:val="24"/>
    </w:rPr>
  </w:style>
  <w:style w:type="paragraph" w:styleId="975">
    <w:name w:val="Header"/>
    <w:basedOn w:val="947"/>
    <w:pPr>
      <w:tabs>
        <w:tab w:val="center" w:pos="4677" w:leader="none"/>
        <w:tab w:val="right" w:pos="9355" w:leader="none"/>
      </w:tabs>
    </w:pPr>
    <w:rPr>
      <w:sz w:val="28"/>
      <w:szCs w:val="24"/>
    </w:rPr>
  </w:style>
  <w:style w:type="paragraph" w:styleId="976">
    <w:name w:val="Footer"/>
    <w:basedOn w:val="947"/>
    <w:pPr>
      <w:tabs>
        <w:tab w:val="center" w:pos="4677" w:leader="none"/>
        <w:tab w:val="right" w:pos="9355" w:leader="none"/>
      </w:tabs>
    </w:pPr>
    <w:rPr>
      <w:sz w:val="28"/>
      <w:szCs w:val="24"/>
    </w:rPr>
  </w:style>
  <w:style w:type="paragraph" w:styleId="977" w:customStyle="1">
    <w:name w:val="Знак1 Знак Знак Знак Знак Знак Знак"/>
    <w:basedOn w:val="947"/>
    <w:pPr>
      <w:spacing w:after="160" w:line="240" w:lineRule="exact"/>
    </w:pPr>
    <w:rPr>
      <w:rFonts w:ascii="Verdana" w:hAnsi="Verdana"/>
      <w:lang w:val="en-US" w:eastAsia="en-US"/>
    </w:rPr>
  </w:style>
  <w:style w:type="paragraph" w:styleId="978" w:customStyle="1">
    <w:name w:val="Знак1"/>
    <w:basedOn w:val="947"/>
    <w:pPr>
      <w:spacing w:after="160" w:line="240" w:lineRule="exact"/>
    </w:pPr>
    <w:rPr>
      <w:rFonts w:ascii="Verdana" w:hAnsi="Verdana"/>
      <w:lang w:val="en-US" w:eastAsia="en-US"/>
    </w:rPr>
  </w:style>
  <w:style w:type="paragraph" w:styleId="979" w:customStyle="1">
    <w:name w:val="Знак"/>
    <w:basedOn w:val="947"/>
    <w:pPr>
      <w:spacing w:after="160" w:line="240" w:lineRule="exact"/>
    </w:pPr>
    <w:rPr>
      <w:rFonts w:ascii="Verdana" w:hAnsi="Verdana"/>
      <w:lang w:val="en-US" w:eastAsia="en-US"/>
    </w:rPr>
  </w:style>
  <w:style w:type="paragraph" w:styleId="980">
    <w:name w:val="Plain Text"/>
    <w:basedOn w:val="947"/>
    <w:link w:val="990"/>
    <w:rPr>
      <w:rFonts w:ascii="Courier New" w:hAnsi="Courier New" w:cs="Courier New"/>
    </w:rPr>
  </w:style>
  <w:style w:type="paragraph" w:styleId="981">
    <w:name w:val="Normal (Web)"/>
    <w:basedOn w:val="947"/>
    <w:uiPriority w:val="99"/>
    <w:pPr>
      <w:ind w:firstLine="75"/>
      <w:spacing w:before="75" w:after="75"/>
    </w:pPr>
    <w:rPr>
      <w:rFonts w:ascii="Arial" w:hAnsi="Arial" w:cs="Arial"/>
      <w:sz w:val="24"/>
      <w:szCs w:val="24"/>
    </w:rPr>
  </w:style>
  <w:style w:type="character" w:styleId="982">
    <w:name w:val="page number"/>
    <w:basedOn w:val="954"/>
  </w:style>
  <w:style w:type="paragraph" w:styleId="983" w:customStyle="1">
    <w:name w:val="Основной текст 21"/>
    <w:basedOn w:val="947"/>
    <w:pPr>
      <w:ind w:firstLine="360"/>
      <w:jc w:val="both"/>
    </w:pPr>
    <w:rPr>
      <w:sz w:val="24"/>
    </w:rPr>
  </w:style>
  <w:style w:type="paragraph" w:styleId="984" w:customStyle="1">
    <w:name w:val="Знак Знак Знак Знак Знак Знак Знак Знак Знак Знак"/>
    <w:basedOn w:val="947"/>
    <w:pPr>
      <w:spacing w:after="160" w:line="240" w:lineRule="exact"/>
    </w:pPr>
    <w:rPr>
      <w:rFonts w:ascii="Verdana" w:hAnsi="Verdana"/>
      <w:lang w:val="en-US" w:eastAsia="en-US"/>
    </w:rPr>
  </w:style>
  <w:style w:type="paragraph" w:styleId="985" w:customStyle="1">
    <w:name w:val="Знак Знак Знак Знак"/>
    <w:basedOn w:val="947"/>
    <w:pPr>
      <w:spacing w:after="160" w:line="240" w:lineRule="exact"/>
    </w:pPr>
    <w:rPr>
      <w:rFonts w:ascii="Verdana" w:hAnsi="Verdana"/>
      <w:lang w:val="en-US" w:eastAsia="en-US"/>
    </w:rPr>
  </w:style>
  <w:style w:type="paragraph" w:styleId="986" w:customStyle="1">
    <w:name w:val="ConsPlusTitle"/>
    <w:rPr>
      <w:rFonts w:ascii="Times New Roman" w:hAnsi="Times New Roman" w:eastAsia="Times New Roman"/>
      <w:b/>
      <w:bCs/>
      <w:sz w:val="28"/>
      <w:szCs w:val="28"/>
    </w:rPr>
  </w:style>
  <w:style w:type="character" w:styleId="987" w:customStyle="1">
    <w:name w:val="Заголовок 2 Знак"/>
    <w:link w:val="94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988" w:customStyle="1">
    <w:name w:val="zagolovok"/>
    <w:basedOn w:val="954"/>
  </w:style>
  <w:style w:type="paragraph" w:styleId="989" w:customStyle="1">
    <w:name w:val="Char Char Char"/>
    <w:basedOn w:val="947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990" w:customStyle="1">
    <w:name w:val="Текст Знак"/>
    <w:link w:val="980"/>
    <w:rPr>
      <w:rFonts w:ascii="Courier New" w:hAnsi="Courier New" w:cs="Courier New"/>
      <w:lang w:val="ru-RU" w:eastAsia="ru-RU" w:bidi="ar-SA"/>
    </w:rPr>
  </w:style>
  <w:style w:type="character" w:styleId="991" w:customStyle="1">
    <w:name w:val="Font Style26"/>
    <w:rPr>
      <w:rFonts w:ascii="Times New Roman" w:hAnsi="Times New Roman" w:cs="Times New Roman"/>
      <w:sz w:val="24"/>
      <w:szCs w:val="24"/>
    </w:rPr>
  </w:style>
  <w:style w:type="character" w:styleId="992" w:customStyle="1">
    <w:name w:val="Заголовок 1 Знак"/>
    <w:link w:val="948"/>
    <w:rPr>
      <w:rFonts w:ascii="Times New Roman" w:hAnsi="Times New Roman" w:eastAsia="Times New Roman"/>
      <w:sz w:val="28"/>
      <w:szCs w:val="24"/>
    </w:rPr>
  </w:style>
  <w:style w:type="character" w:styleId="993" w:customStyle="1">
    <w:name w:val="Основной текст Знак"/>
    <w:link w:val="966"/>
    <w:rPr>
      <w:rFonts w:ascii="Times New Roman" w:hAnsi="Times New Roman" w:eastAsia="Times New Roman"/>
    </w:rPr>
  </w:style>
  <w:style w:type="character" w:styleId="994" w:customStyle="1">
    <w:name w:val="Абзац списка Знак"/>
    <w:link w:val="965"/>
    <w:uiPriority w:val="34"/>
    <w:rPr>
      <w:rFonts w:eastAsia="Times New Roman"/>
      <w:sz w:val="22"/>
      <w:szCs w:val="22"/>
    </w:rPr>
  </w:style>
  <w:style w:type="character" w:styleId="995" w:customStyle="1">
    <w:name w:val="Гипертекстовая ссылка"/>
    <w:uiPriority w:val="99"/>
    <w:rPr>
      <w:b/>
      <w:bCs/>
      <w:color w:val="106bbe"/>
    </w:rPr>
  </w:style>
  <w:style w:type="character" w:styleId="996" w:customStyle="1">
    <w:name w:val="Основной текст (44) + Times New Roman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styleId="997" w:customStyle="1">
    <w:name w:val="docdata"/>
    <w:basedOn w:val="819"/>
  </w:style>
  <w:style w:type="paragraph" w:styleId="998" w:customStyle="1">
    <w:name w:val="Основной текст1"/>
    <w:link w:val="967"/>
    <w:pPr>
      <w:contextualSpacing w:val="0"/>
      <w:ind w:left="0" w:right="0" w:firstLine="400"/>
      <w:jc w:val="left"/>
      <w:keepLines w:val="0"/>
      <w:keepNext w:val="0"/>
      <w:pageBreakBefore w:val="0"/>
      <w:spacing w:before="0" w:beforeAutospacing="0" w:after="0" w:afterAutospacing="0" w:line="276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999" w:customStyle="1">
    <w:name w:val="Table Normal"/>
    <w:uiPriority w:val="2"/>
    <w:semiHidden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top w:w="0" w:type="dxa"/>
        <w:right w:w="0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000" w:customStyle="1">
    <w:name w:val="Основной текст (2)"/>
    <w:pPr>
      <w:contextualSpacing w:val="0"/>
      <w:ind w:left="0" w:right="0" w:firstLine="0"/>
      <w:jc w:val="center"/>
      <w:keepLines w:val="0"/>
      <w:keepNext w:val="0"/>
      <w:pageBreakBefore w:val="0"/>
      <w:spacing w:before="360" w:beforeAutospacing="0" w:after="0" w:afterAutospacing="0" w:line="322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ru-RU"/>
      <w14:ligatures w14:val="none"/>
    </w:rPr>
  </w:style>
  <w:style w:type="paragraph" w:styleId="1001" w:customStyle="1">
    <w:name w:val="Заголовок №1"/>
    <w:pPr>
      <w:contextualSpacing w:val="0"/>
      <w:ind w:left="0" w:right="0" w:hanging="1880"/>
      <w:jc w:val="center"/>
      <w:keepLines w:val="0"/>
      <w:keepNext w:val="0"/>
      <w:pageBreakBefore w:val="0"/>
      <w:spacing w:before="600" w:beforeAutospacing="0" w:after="600" w:afterAutospacing="0" w:line="33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ru-RU"/>
      <w14:ligatures w14:val="none"/>
    </w:rPr>
  </w:style>
  <w:style w:type="table" w:styleId="1002" w:customStyle="1">
    <w:name w:val="Сетка таблицы1"/>
    <w:basedOn w:val="783"/>
    <w:next w:val="953"/>
    <w:uiPriority w:val="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003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004" w:customStyle="1">
    <w:name w:val="Standard"/>
    <w:pPr>
      <w:contextualSpacing w:val="0"/>
      <w:ind w:left="1026" w:right="0" w:firstLine="700"/>
      <w:jc w:val="both"/>
      <w:keepLines w:val="0"/>
      <w:keepNext w:val="0"/>
      <w:pageBreakBefore w:val="0"/>
      <w:spacing w:before="0" w:beforeAutospacing="0" w:after="28" w:afterAutospacing="0" w:line="228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numbering" w:styleId="1005" w:customStyle="1">
    <w:name w:val="WWNum11"/>
    <w:pPr>
      <w:numPr>
        <w:ilvl w:val="0"/>
        <w:numId w:val="0"/>
      </w:numP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E5CA3-335E-482F-AED8-1D9EDCA7F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ДОиН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revision>39</cp:revision>
  <dcterms:created xsi:type="dcterms:W3CDTF">2020-07-30T10:33:00Z</dcterms:created>
  <dcterms:modified xsi:type="dcterms:W3CDTF">2026-01-13T10:04:01Z</dcterms:modified>
</cp:coreProperties>
</file>